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D8F6" w14:textId="77777777" w:rsidR="00102780" w:rsidRDefault="00102780">
      <w:pPr>
        <w:jc w:val="center"/>
        <w:rPr>
          <w:sz w:val="40"/>
          <w:szCs w:val="40"/>
        </w:rPr>
      </w:pPr>
    </w:p>
    <w:p w14:paraId="0FAC2E17" w14:textId="77777777" w:rsidR="00102780" w:rsidRDefault="00102780">
      <w:pPr>
        <w:jc w:val="center"/>
        <w:rPr>
          <w:sz w:val="40"/>
          <w:szCs w:val="40"/>
        </w:rPr>
      </w:pPr>
    </w:p>
    <w:p w14:paraId="5B70CEDE" w14:textId="77777777" w:rsidR="00102780" w:rsidRDefault="00102780">
      <w:pPr>
        <w:jc w:val="center"/>
        <w:rPr>
          <w:sz w:val="40"/>
          <w:szCs w:val="40"/>
        </w:rPr>
      </w:pPr>
    </w:p>
    <w:p w14:paraId="11BD026D" w14:textId="77777777" w:rsidR="00102780" w:rsidRDefault="00102780">
      <w:pPr>
        <w:jc w:val="center"/>
        <w:rPr>
          <w:sz w:val="40"/>
          <w:szCs w:val="40"/>
        </w:rPr>
      </w:pPr>
    </w:p>
    <w:p w14:paraId="1B12D908" w14:textId="77777777" w:rsidR="00102780" w:rsidRDefault="00102780">
      <w:pPr>
        <w:jc w:val="center"/>
        <w:rPr>
          <w:sz w:val="40"/>
          <w:szCs w:val="40"/>
        </w:rPr>
      </w:pPr>
    </w:p>
    <w:p w14:paraId="3D1CBBAF" w14:textId="77777777" w:rsidR="00102780" w:rsidRDefault="008403F3">
      <w:pPr>
        <w:jc w:val="center"/>
        <w:rPr>
          <w:sz w:val="40"/>
          <w:szCs w:val="40"/>
        </w:rPr>
      </w:pPr>
      <w:r>
        <w:rPr>
          <w:sz w:val="40"/>
          <w:szCs w:val="40"/>
        </w:rPr>
        <w:t>SP 800-90B Non-Proprietary Public Use Document</w:t>
      </w:r>
    </w:p>
    <w:p w14:paraId="4C8466CA" w14:textId="7E74BD02" w:rsidR="007C57A8" w:rsidRDefault="001E19AC">
      <w:pPr>
        <w:jc w:val="center"/>
        <w:rPr>
          <w:sz w:val="40"/>
          <w:szCs w:val="40"/>
        </w:rPr>
      </w:pPr>
      <w:bookmarkStart w:id="0" w:name="_Hlk162607308"/>
      <w:r w:rsidRPr="001E19AC">
        <w:rPr>
          <w:sz w:val="40"/>
          <w:szCs w:val="40"/>
        </w:rPr>
        <w:t>TRNG Entropy Source</w:t>
      </w:r>
    </w:p>
    <w:bookmarkEnd w:id="0"/>
    <w:p w14:paraId="78F2AE61" w14:textId="7E4231FB" w:rsidR="00102780" w:rsidRDefault="008403F3">
      <w:pPr>
        <w:jc w:val="center"/>
        <w:rPr>
          <w:sz w:val="40"/>
          <w:szCs w:val="40"/>
        </w:rPr>
      </w:pPr>
      <w:r>
        <w:rPr>
          <w:sz w:val="40"/>
          <w:szCs w:val="40"/>
        </w:rPr>
        <w:t xml:space="preserve">Document Version </w:t>
      </w:r>
      <w:r w:rsidR="000B1006">
        <w:rPr>
          <w:sz w:val="40"/>
          <w:szCs w:val="40"/>
        </w:rPr>
        <w:t>0.1</w:t>
      </w:r>
    </w:p>
    <w:p w14:paraId="4E0330B9" w14:textId="77777777" w:rsidR="007C57A8" w:rsidRDefault="007C57A8">
      <w:pPr>
        <w:jc w:val="center"/>
        <w:rPr>
          <w:i/>
          <w:iCs/>
          <w:sz w:val="40"/>
          <w:szCs w:val="40"/>
        </w:rPr>
      </w:pPr>
    </w:p>
    <w:p w14:paraId="1118B554" w14:textId="25006399" w:rsidR="00102780" w:rsidRPr="00600BD9" w:rsidRDefault="008403F3">
      <w:pPr>
        <w:jc w:val="center"/>
        <w:rPr>
          <w:sz w:val="40"/>
          <w:szCs w:val="40"/>
        </w:rPr>
      </w:pPr>
      <w:r w:rsidRPr="00600BD9">
        <w:rPr>
          <w:sz w:val="40"/>
          <w:szCs w:val="40"/>
        </w:rPr>
        <w:t>Hardware</w:t>
      </w:r>
      <w:r w:rsidR="00A61679" w:rsidRPr="00600BD9">
        <w:rPr>
          <w:sz w:val="40"/>
          <w:szCs w:val="40"/>
        </w:rPr>
        <w:t xml:space="preserve"> Version:</w:t>
      </w:r>
      <w:r w:rsidR="00A61679" w:rsidRPr="00600BD9">
        <w:rPr>
          <w:rStyle w:val="CommentReference"/>
        </w:rPr>
        <w:t xml:space="preserve"> </w:t>
      </w:r>
      <w:r w:rsidR="009E6506">
        <w:rPr>
          <w:sz w:val="40"/>
          <w:szCs w:val="40"/>
        </w:rPr>
        <w:t>1</w:t>
      </w:r>
      <w:r w:rsidR="00BB63C3" w:rsidRPr="00600BD9">
        <w:rPr>
          <w:sz w:val="40"/>
          <w:szCs w:val="40"/>
        </w:rPr>
        <w:t>.</w:t>
      </w:r>
      <w:r w:rsidR="00AA4B4E">
        <w:rPr>
          <w:sz w:val="40"/>
          <w:szCs w:val="40"/>
        </w:rPr>
        <w:t>0</w:t>
      </w:r>
    </w:p>
    <w:p w14:paraId="7BF1152E" w14:textId="77777777" w:rsidR="00102780" w:rsidRDefault="00102780">
      <w:pPr>
        <w:jc w:val="center"/>
        <w:rPr>
          <w:sz w:val="40"/>
          <w:szCs w:val="40"/>
        </w:rPr>
      </w:pPr>
    </w:p>
    <w:p w14:paraId="5B3FE151" w14:textId="4B749C69" w:rsidR="008D5BC2" w:rsidRPr="008329B9" w:rsidRDefault="00662AE2">
      <w:pPr>
        <w:jc w:val="center"/>
        <w:rPr>
          <w:sz w:val="40"/>
          <w:szCs w:val="40"/>
        </w:rPr>
      </w:pPr>
      <w:r w:rsidRPr="008329B9">
        <w:rPr>
          <w:sz w:val="40"/>
          <w:szCs w:val="40"/>
        </w:rPr>
        <w:t>Google, LLC</w:t>
      </w:r>
    </w:p>
    <w:p w14:paraId="532811AE" w14:textId="0DB91C8C" w:rsidR="00690726" w:rsidRPr="008329B9" w:rsidRDefault="00662AE2">
      <w:pPr>
        <w:jc w:val="center"/>
        <w:rPr>
          <w:sz w:val="40"/>
          <w:szCs w:val="40"/>
        </w:rPr>
      </w:pPr>
      <w:r w:rsidRPr="008329B9">
        <w:rPr>
          <w:sz w:val="40"/>
          <w:szCs w:val="40"/>
        </w:rPr>
        <w:t>1600 Amphitheatre Parkway</w:t>
      </w:r>
      <w:r w:rsidRPr="008329B9">
        <w:rPr>
          <w:sz w:val="40"/>
          <w:szCs w:val="40"/>
        </w:rPr>
        <w:br/>
        <w:t>Mountain View, CA 94043</w:t>
      </w:r>
    </w:p>
    <w:p w14:paraId="5A1DF595" w14:textId="29F4C63E" w:rsidR="00102780" w:rsidRDefault="00902536">
      <w:pPr>
        <w:jc w:val="center"/>
        <w:rPr>
          <w:sz w:val="40"/>
          <w:szCs w:val="40"/>
        </w:rPr>
      </w:pPr>
      <w:r w:rsidRPr="008329B9">
        <w:rPr>
          <w:sz w:val="40"/>
          <w:szCs w:val="40"/>
        </w:rPr>
        <w:t xml:space="preserve">March </w:t>
      </w:r>
      <w:r w:rsidR="002B3EF8" w:rsidRPr="008329B9">
        <w:rPr>
          <w:sz w:val="40"/>
          <w:szCs w:val="40"/>
        </w:rPr>
        <w:t>2</w:t>
      </w:r>
      <w:r w:rsidR="00AA4B4E" w:rsidRPr="008329B9">
        <w:rPr>
          <w:sz w:val="40"/>
          <w:szCs w:val="40"/>
        </w:rPr>
        <w:t>9</w:t>
      </w:r>
      <w:r w:rsidR="00690726" w:rsidRPr="008329B9">
        <w:rPr>
          <w:sz w:val="40"/>
          <w:szCs w:val="40"/>
        </w:rPr>
        <w:t>, 202</w:t>
      </w:r>
      <w:r w:rsidRPr="008329B9">
        <w:rPr>
          <w:sz w:val="40"/>
          <w:szCs w:val="40"/>
        </w:rPr>
        <w:t>4</w:t>
      </w:r>
    </w:p>
    <w:p w14:paraId="4A633DF4" w14:textId="77777777" w:rsidR="00102780" w:rsidRDefault="00102780">
      <w:pPr>
        <w:jc w:val="center"/>
        <w:rPr>
          <w:sz w:val="20"/>
          <w:szCs w:val="20"/>
        </w:rPr>
      </w:pPr>
    </w:p>
    <w:p w14:paraId="5C4C97E6" w14:textId="77777777" w:rsidR="00102780" w:rsidRDefault="008403F3">
      <w:pPr>
        <w:spacing w:after="160" w:line="259" w:lineRule="auto"/>
        <w:rPr>
          <w:sz w:val="20"/>
          <w:szCs w:val="20"/>
        </w:rPr>
      </w:pPr>
      <w:r>
        <w:br w:type="page"/>
      </w:r>
    </w:p>
    <w:p w14:paraId="016C3FBB" w14:textId="77777777" w:rsidR="00102780" w:rsidRDefault="008403F3">
      <w:pPr>
        <w:spacing w:after="160" w:line="259" w:lineRule="auto"/>
        <w:rPr>
          <w:b/>
        </w:rPr>
      </w:pPr>
      <w:r>
        <w:rPr>
          <w:b/>
        </w:rPr>
        <w:lastRenderedPageBreak/>
        <w:t>Revision History</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840"/>
      </w:tblGrid>
      <w:tr w:rsidR="00102780" w14:paraId="0620E164" w14:textId="77777777">
        <w:tc>
          <w:tcPr>
            <w:tcW w:w="2605" w:type="dxa"/>
            <w:shd w:val="clear" w:color="auto" w:fill="B4C6E7"/>
          </w:tcPr>
          <w:p w14:paraId="30D58F00" w14:textId="77777777" w:rsidR="00102780" w:rsidRDefault="008403F3">
            <w:pPr>
              <w:spacing w:after="160" w:line="259" w:lineRule="auto"/>
              <w:jc w:val="center"/>
            </w:pPr>
            <w:r>
              <w:t>Version</w:t>
            </w:r>
          </w:p>
        </w:tc>
        <w:tc>
          <w:tcPr>
            <w:tcW w:w="6840" w:type="dxa"/>
            <w:shd w:val="clear" w:color="auto" w:fill="B4C6E7"/>
          </w:tcPr>
          <w:p w14:paraId="0BDBB0F8" w14:textId="77777777" w:rsidR="00102780" w:rsidRDefault="008403F3">
            <w:pPr>
              <w:spacing w:after="160" w:line="259" w:lineRule="auto"/>
              <w:jc w:val="center"/>
            </w:pPr>
            <w:r>
              <w:t>Change</w:t>
            </w:r>
          </w:p>
        </w:tc>
      </w:tr>
      <w:tr w:rsidR="00102780" w14:paraId="051A2D0D" w14:textId="77777777">
        <w:tc>
          <w:tcPr>
            <w:tcW w:w="2605" w:type="dxa"/>
          </w:tcPr>
          <w:p w14:paraId="36737981" w14:textId="5BC14604" w:rsidR="00102780" w:rsidRDefault="002B48CA">
            <w:pPr>
              <w:spacing w:after="160" w:line="259" w:lineRule="auto"/>
            </w:pPr>
            <w:r>
              <w:t>0.1</w:t>
            </w:r>
          </w:p>
        </w:tc>
        <w:tc>
          <w:tcPr>
            <w:tcW w:w="6840" w:type="dxa"/>
          </w:tcPr>
          <w:p w14:paraId="07092697" w14:textId="61669BAA" w:rsidR="00102780" w:rsidRDefault="002B48CA">
            <w:pPr>
              <w:spacing w:after="160" w:line="259" w:lineRule="auto"/>
            </w:pPr>
            <w:r>
              <w:t>Initial Draft</w:t>
            </w:r>
          </w:p>
        </w:tc>
      </w:tr>
      <w:tr w:rsidR="00102780" w14:paraId="7A321C41" w14:textId="77777777">
        <w:tc>
          <w:tcPr>
            <w:tcW w:w="2605" w:type="dxa"/>
          </w:tcPr>
          <w:p w14:paraId="583EF60E" w14:textId="77777777" w:rsidR="00102780" w:rsidRDefault="00102780">
            <w:pPr>
              <w:spacing w:after="160" w:line="259" w:lineRule="auto"/>
            </w:pPr>
          </w:p>
        </w:tc>
        <w:tc>
          <w:tcPr>
            <w:tcW w:w="6840" w:type="dxa"/>
          </w:tcPr>
          <w:p w14:paraId="027268FB" w14:textId="77777777" w:rsidR="00102780" w:rsidRDefault="00102780">
            <w:pPr>
              <w:spacing w:after="160" w:line="259" w:lineRule="auto"/>
            </w:pPr>
          </w:p>
        </w:tc>
      </w:tr>
    </w:tbl>
    <w:p w14:paraId="6F72D6DC" w14:textId="77777777" w:rsidR="00102780" w:rsidRDefault="008403F3">
      <w:pPr>
        <w:spacing w:after="160" w:line="259" w:lineRule="auto"/>
        <w:rPr>
          <w:color w:val="2F5496"/>
          <w:sz w:val="32"/>
          <w:szCs w:val="32"/>
        </w:rPr>
      </w:pPr>
      <w:r>
        <w:br w:type="page"/>
      </w:r>
    </w:p>
    <w:p w14:paraId="23A9A066" w14:textId="77777777" w:rsidR="00102780" w:rsidRDefault="00102780">
      <w:pPr>
        <w:spacing w:after="160" w:line="259" w:lineRule="auto"/>
        <w:rPr>
          <w:color w:val="2F5496"/>
          <w:sz w:val="32"/>
          <w:szCs w:val="32"/>
        </w:rPr>
      </w:pPr>
    </w:p>
    <w:p w14:paraId="3D7B20E0" w14:textId="77777777" w:rsidR="00102780" w:rsidRDefault="008403F3">
      <w:pPr>
        <w:keepNext/>
        <w:keepLines/>
        <w:pBdr>
          <w:top w:val="nil"/>
          <w:left w:val="nil"/>
          <w:bottom w:val="nil"/>
          <w:right w:val="nil"/>
          <w:between w:val="nil"/>
        </w:pBdr>
        <w:spacing w:before="240" w:line="259" w:lineRule="auto"/>
        <w:rPr>
          <w:color w:val="2F5496"/>
          <w:sz w:val="32"/>
          <w:szCs w:val="32"/>
        </w:rPr>
      </w:pPr>
      <w:r>
        <w:rPr>
          <w:color w:val="2F5496"/>
          <w:sz w:val="32"/>
          <w:szCs w:val="32"/>
        </w:rPr>
        <w:t>Table of Contents</w:t>
      </w:r>
    </w:p>
    <w:sdt>
      <w:sdtPr>
        <w:id w:val="669068583"/>
        <w:docPartObj>
          <w:docPartGallery w:val="Table of Contents"/>
          <w:docPartUnique/>
        </w:docPartObj>
      </w:sdtPr>
      <w:sdtContent>
        <w:p w14:paraId="43EE6363" w14:textId="3155D440" w:rsidR="00412DFB" w:rsidRDefault="008403F3">
          <w:pPr>
            <w:pStyle w:val="TOC1"/>
            <w:tabs>
              <w:tab w:val="right" w:pos="9350"/>
            </w:tabs>
            <w:rPr>
              <w:noProof/>
            </w:rPr>
          </w:pPr>
          <w:r>
            <w:fldChar w:fldCharType="begin"/>
          </w:r>
          <w:r>
            <w:instrText xml:space="preserve"> TOC \h \u \z </w:instrText>
          </w:r>
          <w:r>
            <w:fldChar w:fldCharType="separate"/>
          </w:r>
          <w:hyperlink w:anchor="_Toc150937624" w:history="1">
            <w:r w:rsidR="00412DFB" w:rsidRPr="00CC15EA">
              <w:rPr>
                <w:rStyle w:val="Hyperlink"/>
                <w:noProof/>
              </w:rPr>
              <w:t>Description</w:t>
            </w:r>
            <w:r w:rsidR="00412DFB">
              <w:rPr>
                <w:noProof/>
                <w:webHidden/>
              </w:rPr>
              <w:tab/>
            </w:r>
            <w:r w:rsidR="00412DFB">
              <w:rPr>
                <w:noProof/>
                <w:webHidden/>
              </w:rPr>
              <w:fldChar w:fldCharType="begin"/>
            </w:r>
            <w:r w:rsidR="00412DFB">
              <w:rPr>
                <w:noProof/>
                <w:webHidden/>
              </w:rPr>
              <w:instrText xml:space="preserve"> PAGEREF _Toc150937624 \h </w:instrText>
            </w:r>
            <w:r w:rsidR="00412DFB">
              <w:rPr>
                <w:noProof/>
                <w:webHidden/>
              </w:rPr>
            </w:r>
            <w:r w:rsidR="00412DFB">
              <w:rPr>
                <w:noProof/>
                <w:webHidden/>
              </w:rPr>
              <w:fldChar w:fldCharType="separate"/>
            </w:r>
            <w:r w:rsidR="00412DFB">
              <w:rPr>
                <w:noProof/>
                <w:webHidden/>
              </w:rPr>
              <w:t>4</w:t>
            </w:r>
            <w:r w:rsidR="00412DFB">
              <w:rPr>
                <w:noProof/>
                <w:webHidden/>
              </w:rPr>
              <w:fldChar w:fldCharType="end"/>
            </w:r>
          </w:hyperlink>
        </w:p>
        <w:p w14:paraId="2B67B544" w14:textId="5B7D4D1C" w:rsidR="00412DFB" w:rsidRDefault="00000000">
          <w:pPr>
            <w:pStyle w:val="TOC1"/>
            <w:tabs>
              <w:tab w:val="right" w:pos="9350"/>
            </w:tabs>
            <w:rPr>
              <w:noProof/>
            </w:rPr>
          </w:pPr>
          <w:hyperlink w:anchor="_Toc150937625" w:history="1">
            <w:r w:rsidR="00412DFB" w:rsidRPr="00CC15EA">
              <w:rPr>
                <w:rStyle w:val="Hyperlink"/>
                <w:noProof/>
              </w:rPr>
              <w:t>Security Boundary</w:t>
            </w:r>
            <w:r w:rsidR="00412DFB">
              <w:rPr>
                <w:noProof/>
                <w:webHidden/>
              </w:rPr>
              <w:tab/>
            </w:r>
            <w:r w:rsidR="00412DFB">
              <w:rPr>
                <w:noProof/>
                <w:webHidden/>
              </w:rPr>
              <w:fldChar w:fldCharType="begin"/>
            </w:r>
            <w:r w:rsidR="00412DFB">
              <w:rPr>
                <w:noProof/>
                <w:webHidden/>
              </w:rPr>
              <w:instrText xml:space="preserve"> PAGEREF _Toc150937625 \h </w:instrText>
            </w:r>
            <w:r w:rsidR="00412DFB">
              <w:rPr>
                <w:noProof/>
                <w:webHidden/>
              </w:rPr>
            </w:r>
            <w:r w:rsidR="00412DFB">
              <w:rPr>
                <w:noProof/>
                <w:webHidden/>
              </w:rPr>
              <w:fldChar w:fldCharType="separate"/>
            </w:r>
            <w:r w:rsidR="00412DFB">
              <w:rPr>
                <w:noProof/>
                <w:webHidden/>
              </w:rPr>
              <w:t>5</w:t>
            </w:r>
            <w:r w:rsidR="00412DFB">
              <w:rPr>
                <w:noProof/>
                <w:webHidden/>
              </w:rPr>
              <w:fldChar w:fldCharType="end"/>
            </w:r>
          </w:hyperlink>
        </w:p>
        <w:p w14:paraId="44A1C58C" w14:textId="44331D32" w:rsidR="00412DFB" w:rsidRDefault="00000000">
          <w:pPr>
            <w:pStyle w:val="TOC1"/>
            <w:tabs>
              <w:tab w:val="right" w:pos="9350"/>
            </w:tabs>
            <w:rPr>
              <w:noProof/>
            </w:rPr>
          </w:pPr>
          <w:hyperlink w:anchor="_Toc150937626" w:history="1">
            <w:r w:rsidR="00412DFB" w:rsidRPr="00CC15EA">
              <w:rPr>
                <w:rStyle w:val="Hyperlink"/>
                <w:noProof/>
              </w:rPr>
              <w:t>Operating Conditions</w:t>
            </w:r>
            <w:r w:rsidR="00412DFB">
              <w:rPr>
                <w:noProof/>
                <w:webHidden/>
              </w:rPr>
              <w:tab/>
            </w:r>
            <w:r w:rsidR="00412DFB">
              <w:rPr>
                <w:noProof/>
                <w:webHidden/>
              </w:rPr>
              <w:fldChar w:fldCharType="begin"/>
            </w:r>
            <w:r w:rsidR="00412DFB">
              <w:rPr>
                <w:noProof/>
                <w:webHidden/>
              </w:rPr>
              <w:instrText xml:space="preserve"> PAGEREF _Toc150937626 \h </w:instrText>
            </w:r>
            <w:r w:rsidR="00412DFB">
              <w:rPr>
                <w:noProof/>
                <w:webHidden/>
              </w:rPr>
            </w:r>
            <w:r w:rsidR="00412DFB">
              <w:rPr>
                <w:noProof/>
                <w:webHidden/>
              </w:rPr>
              <w:fldChar w:fldCharType="separate"/>
            </w:r>
            <w:r w:rsidR="00412DFB">
              <w:rPr>
                <w:noProof/>
                <w:webHidden/>
              </w:rPr>
              <w:t>6</w:t>
            </w:r>
            <w:r w:rsidR="00412DFB">
              <w:rPr>
                <w:noProof/>
                <w:webHidden/>
              </w:rPr>
              <w:fldChar w:fldCharType="end"/>
            </w:r>
          </w:hyperlink>
        </w:p>
        <w:p w14:paraId="0D246F84" w14:textId="687F5FF7" w:rsidR="00412DFB" w:rsidRDefault="00000000">
          <w:pPr>
            <w:pStyle w:val="TOC1"/>
            <w:tabs>
              <w:tab w:val="right" w:pos="9350"/>
            </w:tabs>
            <w:rPr>
              <w:noProof/>
            </w:rPr>
          </w:pPr>
          <w:hyperlink w:anchor="_Toc150937627" w:history="1">
            <w:r w:rsidR="00412DFB" w:rsidRPr="00CC15EA">
              <w:rPr>
                <w:rStyle w:val="Hyperlink"/>
                <w:noProof/>
              </w:rPr>
              <w:t>Configuration Settings</w:t>
            </w:r>
            <w:r w:rsidR="00412DFB">
              <w:rPr>
                <w:noProof/>
                <w:webHidden/>
              </w:rPr>
              <w:tab/>
            </w:r>
            <w:r w:rsidR="00412DFB">
              <w:rPr>
                <w:noProof/>
                <w:webHidden/>
              </w:rPr>
              <w:fldChar w:fldCharType="begin"/>
            </w:r>
            <w:r w:rsidR="00412DFB">
              <w:rPr>
                <w:noProof/>
                <w:webHidden/>
              </w:rPr>
              <w:instrText xml:space="preserve"> PAGEREF _Toc150937627 \h </w:instrText>
            </w:r>
            <w:r w:rsidR="00412DFB">
              <w:rPr>
                <w:noProof/>
                <w:webHidden/>
              </w:rPr>
            </w:r>
            <w:r w:rsidR="00412DFB">
              <w:rPr>
                <w:noProof/>
                <w:webHidden/>
              </w:rPr>
              <w:fldChar w:fldCharType="separate"/>
            </w:r>
            <w:r w:rsidR="00412DFB">
              <w:rPr>
                <w:noProof/>
                <w:webHidden/>
              </w:rPr>
              <w:t>7</w:t>
            </w:r>
            <w:r w:rsidR="00412DFB">
              <w:rPr>
                <w:noProof/>
                <w:webHidden/>
              </w:rPr>
              <w:fldChar w:fldCharType="end"/>
            </w:r>
          </w:hyperlink>
        </w:p>
        <w:p w14:paraId="49D6E4C2" w14:textId="1795698B" w:rsidR="00412DFB" w:rsidRDefault="00000000">
          <w:pPr>
            <w:pStyle w:val="TOC1"/>
            <w:tabs>
              <w:tab w:val="right" w:pos="9350"/>
            </w:tabs>
            <w:rPr>
              <w:noProof/>
            </w:rPr>
          </w:pPr>
          <w:hyperlink w:anchor="_Toc150937628" w:history="1">
            <w:r w:rsidR="00412DFB" w:rsidRPr="00CC15EA">
              <w:rPr>
                <w:rStyle w:val="Hyperlink"/>
                <w:noProof/>
              </w:rPr>
              <w:t>Physical Security Mechanisms</w:t>
            </w:r>
            <w:r w:rsidR="00412DFB">
              <w:rPr>
                <w:noProof/>
                <w:webHidden/>
              </w:rPr>
              <w:tab/>
            </w:r>
            <w:r w:rsidR="00412DFB">
              <w:rPr>
                <w:noProof/>
                <w:webHidden/>
              </w:rPr>
              <w:fldChar w:fldCharType="begin"/>
            </w:r>
            <w:r w:rsidR="00412DFB">
              <w:rPr>
                <w:noProof/>
                <w:webHidden/>
              </w:rPr>
              <w:instrText xml:space="preserve"> PAGEREF _Toc150937628 \h </w:instrText>
            </w:r>
            <w:r w:rsidR="00412DFB">
              <w:rPr>
                <w:noProof/>
                <w:webHidden/>
              </w:rPr>
            </w:r>
            <w:r w:rsidR="00412DFB">
              <w:rPr>
                <w:noProof/>
                <w:webHidden/>
              </w:rPr>
              <w:fldChar w:fldCharType="separate"/>
            </w:r>
            <w:r w:rsidR="00412DFB">
              <w:rPr>
                <w:noProof/>
                <w:webHidden/>
              </w:rPr>
              <w:t>7</w:t>
            </w:r>
            <w:r w:rsidR="00412DFB">
              <w:rPr>
                <w:noProof/>
                <w:webHidden/>
              </w:rPr>
              <w:fldChar w:fldCharType="end"/>
            </w:r>
          </w:hyperlink>
        </w:p>
        <w:p w14:paraId="5412BD18" w14:textId="0E4F03F0" w:rsidR="00412DFB" w:rsidRDefault="00000000">
          <w:pPr>
            <w:pStyle w:val="TOC1"/>
            <w:tabs>
              <w:tab w:val="right" w:pos="9350"/>
            </w:tabs>
            <w:rPr>
              <w:noProof/>
            </w:rPr>
          </w:pPr>
          <w:hyperlink w:anchor="_Toc150937629" w:history="1">
            <w:r w:rsidR="00412DFB" w:rsidRPr="00CC15EA">
              <w:rPr>
                <w:rStyle w:val="Hyperlink"/>
                <w:noProof/>
              </w:rPr>
              <w:t>Conceptual Interfaces</w:t>
            </w:r>
            <w:r w:rsidR="00412DFB">
              <w:rPr>
                <w:noProof/>
                <w:webHidden/>
              </w:rPr>
              <w:tab/>
            </w:r>
            <w:r w:rsidR="00412DFB">
              <w:rPr>
                <w:noProof/>
                <w:webHidden/>
              </w:rPr>
              <w:fldChar w:fldCharType="begin"/>
            </w:r>
            <w:r w:rsidR="00412DFB">
              <w:rPr>
                <w:noProof/>
                <w:webHidden/>
              </w:rPr>
              <w:instrText xml:space="preserve"> PAGEREF _Toc150937629 \h </w:instrText>
            </w:r>
            <w:r w:rsidR="00412DFB">
              <w:rPr>
                <w:noProof/>
                <w:webHidden/>
              </w:rPr>
            </w:r>
            <w:r w:rsidR="00412DFB">
              <w:rPr>
                <w:noProof/>
                <w:webHidden/>
              </w:rPr>
              <w:fldChar w:fldCharType="separate"/>
            </w:r>
            <w:r w:rsidR="00412DFB">
              <w:rPr>
                <w:noProof/>
                <w:webHidden/>
              </w:rPr>
              <w:t>8</w:t>
            </w:r>
            <w:r w:rsidR="00412DFB">
              <w:rPr>
                <w:noProof/>
                <w:webHidden/>
              </w:rPr>
              <w:fldChar w:fldCharType="end"/>
            </w:r>
          </w:hyperlink>
        </w:p>
        <w:p w14:paraId="6DED1AA8" w14:textId="7BAA8D0A" w:rsidR="00412DFB" w:rsidRDefault="00000000">
          <w:pPr>
            <w:pStyle w:val="TOC1"/>
            <w:tabs>
              <w:tab w:val="right" w:pos="9350"/>
            </w:tabs>
            <w:rPr>
              <w:noProof/>
            </w:rPr>
          </w:pPr>
          <w:hyperlink w:anchor="_Toc150937630" w:history="1">
            <w:r w:rsidR="00412DFB" w:rsidRPr="00CC15EA">
              <w:rPr>
                <w:rStyle w:val="Hyperlink"/>
                <w:noProof/>
              </w:rPr>
              <w:t>Min-Entropy Rate</w:t>
            </w:r>
            <w:r w:rsidR="00412DFB">
              <w:rPr>
                <w:noProof/>
                <w:webHidden/>
              </w:rPr>
              <w:tab/>
            </w:r>
            <w:r w:rsidR="00412DFB">
              <w:rPr>
                <w:noProof/>
                <w:webHidden/>
              </w:rPr>
              <w:fldChar w:fldCharType="begin"/>
            </w:r>
            <w:r w:rsidR="00412DFB">
              <w:rPr>
                <w:noProof/>
                <w:webHidden/>
              </w:rPr>
              <w:instrText xml:space="preserve"> PAGEREF _Toc150937630 \h </w:instrText>
            </w:r>
            <w:r w:rsidR="00412DFB">
              <w:rPr>
                <w:noProof/>
                <w:webHidden/>
              </w:rPr>
            </w:r>
            <w:r w:rsidR="00412DFB">
              <w:rPr>
                <w:noProof/>
                <w:webHidden/>
              </w:rPr>
              <w:fldChar w:fldCharType="separate"/>
            </w:r>
            <w:r w:rsidR="00412DFB">
              <w:rPr>
                <w:noProof/>
                <w:webHidden/>
              </w:rPr>
              <w:t>8</w:t>
            </w:r>
            <w:r w:rsidR="00412DFB">
              <w:rPr>
                <w:noProof/>
                <w:webHidden/>
              </w:rPr>
              <w:fldChar w:fldCharType="end"/>
            </w:r>
          </w:hyperlink>
        </w:p>
        <w:p w14:paraId="3C24902C" w14:textId="15CDF448" w:rsidR="00412DFB" w:rsidRDefault="00000000">
          <w:pPr>
            <w:pStyle w:val="TOC1"/>
            <w:tabs>
              <w:tab w:val="right" w:pos="9350"/>
            </w:tabs>
            <w:rPr>
              <w:noProof/>
            </w:rPr>
          </w:pPr>
          <w:hyperlink w:anchor="_Toc150937631" w:history="1">
            <w:r w:rsidR="00412DFB" w:rsidRPr="00CC15EA">
              <w:rPr>
                <w:rStyle w:val="Hyperlink"/>
                <w:noProof/>
              </w:rPr>
              <w:t>Health Tests</w:t>
            </w:r>
            <w:r w:rsidR="00412DFB">
              <w:rPr>
                <w:noProof/>
                <w:webHidden/>
              </w:rPr>
              <w:tab/>
            </w:r>
            <w:r w:rsidR="00412DFB">
              <w:rPr>
                <w:noProof/>
                <w:webHidden/>
              </w:rPr>
              <w:fldChar w:fldCharType="begin"/>
            </w:r>
            <w:r w:rsidR="00412DFB">
              <w:rPr>
                <w:noProof/>
                <w:webHidden/>
              </w:rPr>
              <w:instrText xml:space="preserve"> PAGEREF _Toc150937631 \h </w:instrText>
            </w:r>
            <w:r w:rsidR="00412DFB">
              <w:rPr>
                <w:noProof/>
                <w:webHidden/>
              </w:rPr>
            </w:r>
            <w:r w:rsidR="00412DFB">
              <w:rPr>
                <w:noProof/>
                <w:webHidden/>
              </w:rPr>
              <w:fldChar w:fldCharType="separate"/>
            </w:r>
            <w:r w:rsidR="00412DFB">
              <w:rPr>
                <w:noProof/>
                <w:webHidden/>
              </w:rPr>
              <w:t>8</w:t>
            </w:r>
            <w:r w:rsidR="00412DFB">
              <w:rPr>
                <w:noProof/>
                <w:webHidden/>
              </w:rPr>
              <w:fldChar w:fldCharType="end"/>
            </w:r>
          </w:hyperlink>
        </w:p>
        <w:p w14:paraId="61BBCC9D" w14:textId="05B038FA" w:rsidR="00412DFB" w:rsidRDefault="00000000">
          <w:pPr>
            <w:pStyle w:val="TOC1"/>
            <w:tabs>
              <w:tab w:val="right" w:pos="9350"/>
            </w:tabs>
            <w:rPr>
              <w:noProof/>
            </w:rPr>
          </w:pPr>
          <w:hyperlink w:anchor="_Toc150937632" w:history="1">
            <w:r w:rsidR="00412DFB" w:rsidRPr="00CC15EA">
              <w:rPr>
                <w:rStyle w:val="Hyperlink"/>
                <w:noProof/>
              </w:rPr>
              <w:t>Maintenance</w:t>
            </w:r>
            <w:r w:rsidR="00412DFB">
              <w:rPr>
                <w:noProof/>
                <w:webHidden/>
              </w:rPr>
              <w:tab/>
            </w:r>
            <w:r w:rsidR="00412DFB">
              <w:rPr>
                <w:noProof/>
                <w:webHidden/>
              </w:rPr>
              <w:fldChar w:fldCharType="begin"/>
            </w:r>
            <w:r w:rsidR="00412DFB">
              <w:rPr>
                <w:noProof/>
                <w:webHidden/>
              </w:rPr>
              <w:instrText xml:space="preserve"> PAGEREF _Toc150937632 \h </w:instrText>
            </w:r>
            <w:r w:rsidR="00412DFB">
              <w:rPr>
                <w:noProof/>
                <w:webHidden/>
              </w:rPr>
            </w:r>
            <w:r w:rsidR="00412DFB">
              <w:rPr>
                <w:noProof/>
                <w:webHidden/>
              </w:rPr>
              <w:fldChar w:fldCharType="separate"/>
            </w:r>
            <w:r w:rsidR="00412DFB">
              <w:rPr>
                <w:noProof/>
                <w:webHidden/>
              </w:rPr>
              <w:t>9</w:t>
            </w:r>
            <w:r w:rsidR="00412DFB">
              <w:rPr>
                <w:noProof/>
                <w:webHidden/>
              </w:rPr>
              <w:fldChar w:fldCharType="end"/>
            </w:r>
          </w:hyperlink>
        </w:p>
        <w:p w14:paraId="7CA57AB3" w14:textId="2E44F309" w:rsidR="00412DFB" w:rsidRDefault="00000000">
          <w:pPr>
            <w:pStyle w:val="TOC1"/>
            <w:tabs>
              <w:tab w:val="right" w:pos="9350"/>
            </w:tabs>
            <w:rPr>
              <w:noProof/>
            </w:rPr>
          </w:pPr>
          <w:hyperlink w:anchor="_Toc150937633" w:history="1">
            <w:r w:rsidR="00412DFB" w:rsidRPr="00CC15EA">
              <w:rPr>
                <w:rStyle w:val="Hyperlink"/>
                <w:noProof/>
              </w:rPr>
              <w:t>There are no maintenance requirements.</w:t>
            </w:r>
            <w:r w:rsidR="00412DFB">
              <w:rPr>
                <w:noProof/>
                <w:webHidden/>
              </w:rPr>
              <w:tab/>
            </w:r>
            <w:r w:rsidR="00412DFB">
              <w:rPr>
                <w:noProof/>
                <w:webHidden/>
              </w:rPr>
              <w:fldChar w:fldCharType="begin"/>
            </w:r>
            <w:r w:rsidR="00412DFB">
              <w:rPr>
                <w:noProof/>
                <w:webHidden/>
              </w:rPr>
              <w:instrText xml:space="preserve"> PAGEREF _Toc150937633 \h </w:instrText>
            </w:r>
            <w:r w:rsidR="00412DFB">
              <w:rPr>
                <w:noProof/>
                <w:webHidden/>
              </w:rPr>
            </w:r>
            <w:r w:rsidR="00412DFB">
              <w:rPr>
                <w:noProof/>
                <w:webHidden/>
              </w:rPr>
              <w:fldChar w:fldCharType="separate"/>
            </w:r>
            <w:r w:rsidR="00412DFB">
              <w:rPr>
                <w:noProof/>
                <w:webHidden/>
              </w:rPr>
              <w:t>9</w:t>
            </w:r>
            <w:r w:rsidR="00412DFB">
              <w:rPr>
                <w:noProof/>
                <w:webHidden/>
              </w:rPr>
              <w:fldChar w:fldCharType="end"/>
            </w:r>
          </w:hyperlink>
        </w:p>
        <w:p w14:paraId="736112CB" w14:textId="5BFB2239" w:rsidR="00412DFB" w:rsidRDefault="00000000">
          <w:pPr>
            <w:pStyle w:val="TOC1"/>
            <w:tabs>
              <w:tab w:val="right" w:pos="9350"/>
            </w:tabs>
            <w:rPr>
              <w:noProof/>
            </w:rPr>
          </w:pPr>
          <w:hyperlink w:anchor="_Toc150937634" w:history="1">
            <w:r w:rsidR="00412DFB" w:rsidRPr="00CC15EA">
              <w:rPr>
                <w:rStyle w:val="Hyperlink"/>
                <w:noProof/>
              </w:rPr>
              <w:t>Required Testing</w:t>
            </w:r>
            <w:r w:rsidR="00412DFB">
              <w:rPr>
                <w:noProof/>
                <w:webHidden/>
              </w:rPr>
              <w:tab/>
            </w:r>
            <w:r w:rsidR="00412DFB">
              <w:rPr>
                <w:noProof/>
                <w:webHidden/>
              </w:rPr>
              <w:fldChar w:fldCharType="begin"/>
            </w:r>
            <w:r w:rsidR="00412DFB">
              <w:rPr>
                <w:noProof/>
                <w:webHidden/>
              </w:rPr>
              <w:instrText xml:space="preserve"> PAGEREF _Toc150937634 \h </w:instrText>
            </w:r>
            <w:r w:rsidR="00412DFB">
              <w:rPr>
                <w:noProof/>
                <w:webHidden/>
              </w:rPr>
            </w:r>
            <w:r w:rsidR="00412DFB">
              <w:rPr>
                <w:noProof/>
                <w:webHidden/>
              </w:rPr>
              <w:fldChar w:fldCharType="separate"/>
            </w:r>
            <w:r w:rsidR="00412DFB">
              <w:rPr>
                <w:noProof/>
                <w:webHidden/>
              </w:rPr>
              <w:t>9</w:t>
            </w:r>
            <w:r w:rsidR="00412DFB">
              <w:rPr>
                <w:noProof/>
                <w:webHidden/>
              </w:rPr>
              <w:fldChar w:fldCharType="end"/>
            </w:r>
          </w:hyperlink>
        </w:p>
        <w:p w14:paraId="7990C0F4" w14:textId="6E1AF9FE" w:rsidR="00102780" w:rsidRDefault="008403F3">
          <w:r>
            <w:fldChar w:fldCharType="end"/>
          </w:r>
        </w:p>
      </w:sdtContent>
    </w:sdt>
    <w:p w14:paraId="41475CD5" w14:textId="77777777" w:rsidR="00102780" w:rsidRDefault="00102780">
      <w:pPr>
        <w:spacing w:after="160" w:line="259" w:lineRule="auto"/>
        <w:rPr>
          <w:color w:val="2F5496"/>
          <w:sz w:val="32"/>
          <w:szCs w:val="32"/>
        </w:rPr>
      </w:pPr>
    </w:p>
    <w:p w14:paraId="69C12B85" w14:textId="77777777" w:rsidR="00102780" w:rsidRDefault="00102780">
      <w:pPr>
        <w:pStyle w:val="Heading1"/>
      </w:pPr>
    </w:p>
    <w:p w14:paraId="32AF8CD8" w14:textId="77777777" w:rsidR="00102780" w:rsidRDefault="008403F3">
      <w:pPr>
        <w:spacing w:after="160" w:line="259" w:lineRule="auto"/>
        <w:rPr>
          <w:color w:val="2F5496"/>
          <w:sz w:val="32"/>
          <w:szCs w:val="32"/>
        </w:rPr>
      </w:pPr>
      <w:r>
        <w:br w:type="page"/>
      </w:r>
    </w:p>
    <w:p w14:paraId="13BB1A28" w14:textId="77777777" w:rsidR="00102780" w:rsidRDefault="008403F3">
      <w:pPr>
        <w:pStyle w:val="Heading1"/>
      </w:pPr>
      <w:bookmarkStart w:id="1" w:name="_Toc150937624"/>
      <w:r>
        <w:lastRenderedPageBreak/>
        <w:t>Description</w:t>
      </w:r>
      <w:bookmarkEnd w:id="1"/>
    </w:p>
    <w:p w14:paraId="0F1C45DA" w14:textId="0515C47D" w:rsidR="001504F4" w:rsidRDefault="001504F4">
      <w:r w:rsidRPr="001504F4">
        <w:t xml:space="preserve">The </w:t>
      </w:r>
      <w:r w:rsidR="007466DD">
        <w:t>Google</w:t>
      </w:r>
      <w:r>
        <w:t xml:space="preserve"> </w:t>
      </w:r>
      <w:r w:rsidR="0040467E">
        <w:t xml:space="preserve">entropy source P/N: </w:t>
      </w:r>
      <w:r w:rsidRPr="001504F4">
        <w:t>TRNG Entropy Source</w:t>
      </w:r>
      <w:r w:rsidR="00C37145">
        <w:t xml:space="preserve">, version </w:t>
      </w:r>
      <w:r w:rsidR="00310EB2">
        <w:t>1</w:t>
      </w:r>
      <w:r w:rsidR="00C37145">
        <w:t xml:space="preserve">.0, </w:t>
      </w:r>
      <w:r w:rsidRPr="001504F4">
        <w:t xml:space="preserve">is a </w:t>
      </w:r>
      <w:r w:rsidR="001D5393">
        <w:t xml:space="preserve">hardware-based, </w:t>
      </w:r>
      <w:r w:rsidRPr="001504F4">
        <w:t xml:space="preserve">physical </w:t>
      </w:r>
      <w:r w:rsidR="00890C6B">
        <w:t xml:space="preserve">(ENT (P)) entropy </w:t>
      </w:r>
      <w:r w:rsidRPr="001504F4">
        <w:t xml:space="preserve">source. It </w:t>
      </w:r>
      <w:r w:rsidR="00E91EAE">
        <w:t xml:space="preserve">is a non-IID entropy source. </w:t>
      </w:r>
      <w:r w:rsidR="007447F3">
        <w:t xml:space="preserve">It does not require firmware or software to operate. </w:t>
      </w:r>
    </w:p>
    <w:p w14:paraId="01221418" w14:textId="77777777" w:rsidR="00A653A8" w:rsidRDefault="00A653A8"/>
    <w:p w14:paraId="50DF6197" w14:textId="19D85014" w:rsidR="00A653A8" w:rsidRDefault="00944072">
      <w:r>
        <w:t xml:space="preserve">This assessment was conducted </w:t>
      </w:r>
      <w:r w:rsidR="00504152">
        <w:t xml:space="preserve">on various listed device </w:t>
      </w:r>
      <w:r w:rsidR="00573F1A">
        <w:t>in Table 1</w:t>
      </w:r>
      <w:r w:rsidR="006A26C0">
        <w:t xml:space="preserve">. </w:t>
      </w:r>
    </w:p>
    <w:p w14:paraId="49FDFBCD" w14:textId="77777777" w:rsidR="00A75677" w:rsidRDefault="00A75677"/>
    <w:p w14:paraId="0278C66D" w14:textId="70CB878C" w:rsidR="00241839" w:rsidRDefault="0055481B">
      <w:r>
        <w:t xml:space="preserve">Table 1: Evaluated </w:t>
      </w:r>
      <w:r w:rsidR="002B6F90">
        <w:t>Entropy Source Specification</w:t>
      </w:r>
    </w:p>
    <w:p w14:paraId="6565406C" w14:textId="414489D6" w:rsidR="00326894" w:rsidRDefault="00326894">
      <w:r>
        <w:t xml:space="preserve"> </w:t>
      </w:r>
    </w:p>
    <w:tbl>
      <w:tblPr>
        <w:tblStyle w:val="TableGrid"/>
        <w:tblW w:w="0" w:type="auto"/>
        <w:tblLook w:val="04A0" w:firstRow="1" w:lastRow="0" w:firstColumn="1" w:lastColumn="0" w:noHBand="0" w:noVBand="1"/>
      </w:tblPr>
      <w:tblGrid>
        <w:gridCol w:w="2515"/>
        <w:gridCol w:w="1073"/>
        <w:gridCol w:w="1824"/>
        <w:gridCol w:w="2155"/>
      </w:tblGrid>
      <w:tr w:rsidR="00241B63" w14:paraId="4D0DA766" w14:textId="77777777" w:rsidTr="00286FDC">
        <w:tc>
          <w:tcPr>
            <w:tcW w:w="2515" w:type="dxa"/>
            <w:shd w:val="clear" w:color="auto" w:fill="8DB3E2" w:themeFill="text2" w:themeFillTint="66"/>
          </w:tcPr>
          <w:p w14:paraId="24274C7E" w14:textId="6456ABCF" w:rsidR="00241B63" w:rsidRDefault="00241B63">
            <w:r>
              <w:t>Part Number</w:t>
            </w:r>
          </w:p>
        </w:tc>
        <w:tc>
          <w:tcPr>
            <w:tcW w:w="1073" w:type="dxa"/>
            <w:shd w:val="clear" w:color="auto" w:fill="8DB3E2" w:themeFill="text2" w:themeFillTint="66"/>
          </w:tcPr>
          <w:p w14:paraId="12AE4AF4" w14:textId="5D4054E2" w:rsidR="00241B63" w:rsidRDefault="00241B63">
            <w:r>
              <w:t>Stepping</w:t>
            </w:r>
          </w:p>
        </w:tc>
        <w:tc>
          <w:tcPr>
            <w:tcW w:w="1824" w:type="dxa"/>
            <w:shd w:val="clear" w:color="auto" w:fill="8DB3E2" w:themeFill="text2" w:themeFillTint="66"/>
          </w:tcPr>
          <w:p w14:paraId="437E2990" w14:textId="3633474C" w:rsidR="00241B63" w:rsidRDefault="00241B63">
            <w:r>
              <w:t>Entropy Category</w:t>
            </w:r>
          </w:p>
        </w:tc>
        <w:tc>
          <w:tcPr>
            <w:tcW w:w="2155" w:type="dxa"/>
            <w:shd w:val="clear" w:color="auto" w:fill="8DB3E2" w:themeFill="text2" w:themeFillTint="66"/>
          </w:tcPr>
          <w:p w14:paraId="5A0D589F" w14:textId="129085E3" w:rsidR="00241B63" w:rsidRDefault="00241B63">
            <w:r>
              <w:t>Entropy Estimation Track</w:t>
            </w:r>
          </w:p>
        </w:tc>
      </w:tr>
      <w:tr w:rsidR="00241B63" w14:paraId="13A957FF" w14:textId="77777777" w:rsidTr="00286FDC">
        <w:tc>
          <w:tcPr>
            <w:tcW w:w="2515" w:type="dxa"/>
          </w:tcPr>
          <w:p w14:paraId="4F4E322A" w14:textId="1F50A50E" w:rsidR="00241B63" w:rsidRPr="00C547D5" w:rsidRDefault="00241B63" w:rsidP="00420405">
            <w:pPr>
              <w:rPr>
                <w:highlight w:val="yellow"/>
              </w:rPr>
            </w:pPr>
            <w:r w:rsidRPr="003B2208">
              <w:t>Intel® IPU ES2000CC</w:t>
            </w:r>
          </w:p>
        </w:tc>
        <w:tc>
          <w:tcPr>
            <w:tcW w:w="1073" w:type="dxa"/>
          </w:tcPr>
          <w:p w14:paraId="05E74C7A" w14:textId="73D8BC5C" w:rsidR="00241B63" w:rsidRDefault="00241B63" w:rsidP="00420405">
            <w:r>
              <w:t>B</w:t>
            </w:r>
          </w:p>
        </w:tc>
        <w:tc>
          <w:tcPr>
            <w:tcW w:w="1824" w:type="dxa"/>
          </w:tcPr>
          <w:p w14:paraId="156DA848" w14:textId="70B69F87" w:rsidR="00241B63" w:rsidRDefault="00241B63" w:rsidP="00420405">
            <w:r>
              <w:t>Physical</w:t>
            </w:r>
          </w:p>
        </w:tc>
        <w:tc>
          <w:tcPr>
            <w:tcW w:w="2155" w:type="dxa"/>
          </w:tcPr>
          <w:p w14:paraId="2ADDA255" w14:textId="4B0E0A65" w:rsidR="00241B63" w:rsidRDefault="00241B63" w:rsidP="00420405">
            <w:r>
              <w:t>Non-IID</w:t>
            </w:r>
          </w:p>
        </w:tc>
      </w:tr>
    </w:tbl>
    <w:p w14:paraId="377981BB" w14:textId="77777777" w:rsidR="000F409A" w:rsidRDefault="000F409A"/>
    <w:p w14:paraId="3D1B1560" w14:textId="77777777" w:rsidR="00102780" w:rsidRDefault="008403F3">
      <w:pPr>
        <w:pStyle w:val="Heading1"/>
      </w:pPr>
      <w:bookmarkStart w:id="2" w:name="_Toc150937625"/>
      <w:r>
        <w:t>Security Boundary</w:t>
      </w:r>
      <w:bookmarkEnd w:id="2"/>
    </w:p>
    <w:p w14:paraId="0E51D1CE" w14:textId="54B88C81" w:rsidR="004B758A" w:rsidRDefault="001F01B5">
      <w:r>
        <w:t xml:space="preserve">The </w:t>
      </w:r>
      <w:r w:rsidR="002372BD" w:rsidRPr="002372BD">
        <w:t>TRNG Entropy Source</w:t>
      </w:r>
      <w:r w:rsidR="002372BD">
        <w:t xml:space="preserve"> </w:t>
      </w:r>
      <w:r w:rsidR="004B758A">
        <w:t xml:space="preserve">consists of a noise source, </w:t>
      </w:r>
      <w:r w:rsidR="004B758A" w:rsidRPr="004B758A">
        <w:t xml:space="preserve">conditioning </w:t>
      </w:r>
      <w:r w:rsidR="00FF79AC">
        <w:t>component,</w:t>
      </w:r>
      <w:r w:rsidR="004B758A">
        <w:t xml:space="preserve"> and continuous </w:t>
      </w:r>
      <w:r w:rsidR="004B758A" w:rsidRPr="004B758A">
        <w:t>health testing</w:t>
      </w:r>
      <w:r w:rsidR="006A7FE2">
        <w:t xml:space="preserve"> as shown in Figure 1</w:t>
      </w:r>
      <w:r w:rsidR="004B758A" w:rsidRPr="004B758A">
        <w:t>.</w:t>
      </w:r>
      <w:r w:rsidR="0096366E">
        <w:t xml:space="preserve"> T</w:t>
      </w:r>
      <w:r w:rsidR="004B758A" w:rsidRPr="004B758A">
        <w:t xml:space="preserve">he noise source </w:t>
      </w:r>
      <w:r w:rsidR="00AB697B">
        <w:t xml:space="preserve">consists of bit generators which are based on a set of two ring oscillators per generator. </w:t>
      </w:r>
      <w:r w:rsidR="004B758A" w:rsidRPr="004B758A">
        <w:t xml:space="preserve">The </w:t>
      </w:r>
      <w:r w:rsidR="000333A9">
        <w:t xml:space="preserve">Entropy Source </w:t>
      </w:r>
      <w:r w:rsidR="004B758A" w:rsidRPr="004B758A">
        <w:t>permits reads of the raw (unconditioned) output</w:t>
      </w:r>
      <w:r w:rsidR="000333A9">
        <w:t xml:space="preserve"> of the noise source </w:t>
      </w:r>
      <w:r w:rsidR="00AE4DAD">
        <w:t xml:space="preserve">only </w:t>
      </w:r>
      <w:r w:rsidR="000333A9">
        <w:t xml:space="preserve">when in </w:t>
      </w:r>
      <w:r w:rsidR="00CF4CFF">
        <w:t xml:space="preserve">test mode. </w:t>
      </w:r>
      <w:r w:rsidR="00AE4DAD">
        <w:t xml:space="preserve">The </w:t>
      </w:r>
      <w:r w:rsidR="00E76CD4">
        <w:t xml:space="preserve">vetted </w:t>
      </w:r>
      <w:r w:rsidR="00AE4DAD">
        <w:t xml:space="preserve">conditioning </w:t>
      </w:r>
      <w:r w:rsidR="00F722AF">
        <w:t>component is</w:t>
      </w:r>
      <w:r w:rsidR="00AE4DAD">
        <w:t xml:space="preserve"> a </w:t>
      </w:r>
      <w:r w:rsidR="00E76CD4">
        <w:t>AES-128 block_cipher_df</w:t>
      </w:r>
      <w:r w:rsidR="00F722AF">
        <w:t xml:space="preserve"> (CAVP Certificate #</w:t>
      </w:r>
      <w:r w:rsidR="00B73AB3">
        <w:t>A</w:t>
      </w:r>
      <w:r w:rsidR="006018A6">
        <w:t>17</w:t>
      </w:r>
      <w:r w:rsidR="007466DD">
        <w:t>14</w:t>
      </w:r>
      <w:r w:rsidR="00B73AB3">
        <w:t>)</w:t>
      </w:r>
      <w:r w:rsidR="00047085">
        <w:t xml:space="preserve">. </w:t>
      </w:r>
      <w:r w:rsidR="00CF4CFF">
        <w:t>The conditioned output is also available for input into a hardware-based DRBG (not shown)</w:t>
      </w:r>
      <w:r w:rsidR="00580839">
        <w:t xml:space="preserve"> or may be read directly via registers</w:t>
      </w:r>
      <w:r w:rsidR="00FD42BF">
        <w:t xml:space="preserve">. Continuous health tests are run on the raw noise data. </w:t>
      </w:r>
    </w:p>
    <w:p w14:paraId="0725A619" w14:textId="77777777" w:rsidR="004B758A" w:rsidRDefault="004B758A"/>
    <w:p w14:paraId="378128FB" w14:textId="140AF281" w:rsidR="00834690" w:rsidRDefault="006A7FE2">
      <w:r>
        <w:t>The security boundary is depicted in Fi</w:t>
      </w:r>
      <w:r w:rsidR="00864F20">
        <w:t xml:space="preserve">gure 1 as well.  </w:t>
      </w:r>
    </w:p>
    <w:p w14:paraId="7E57CD4B" w14:textId="77777777" w:rsidR="000066F5" w:rsidRDefault="000066F5"/>
    <w:p w14:paraId="27849BAF" w14:textId="75467A2B" w:rsidR="000B292A" w:rsidRDefault="00834690">
      <w:r>
        <w:t xml:space="preserve">Figure 1: </w:t>
      </w:r>
      <w:r w:rsidR="00F328B1">
        <w:t xml:space="preserve">Google </w:t>
      </w:r>
      <w:r w:rsidR="004B015D">
        <w:t>TRNG</w:t>
      </w:r>
      <w:r w:rsidR="006E5A54">
        <w:t xml:space="preserve"> Entropy Source</w:t>
      </w:r>
      <w:r w:rsidR="00527F08">
        <w:t xml:space="preserve"> Block Diagram</w:t>
      </w:r>
    </w:p>
    <w:p w14:paraId="15E3F057" w14:textId="4DAA8FC8" w:rsidR="00264000" w:rsidRDefault="00264000"/>
    <w:p w14:paraId="3839C2AE" w14:textId="000734B0" w:rsidR="008329B9" w:rsidRDefault="008329B9">
      <w:r>
        <w:rPr>
          <w:noProof/>
        </w:rPr>
        <w:drawing>
          <wp:inline distT="0" distB="0" distL="0" distR="0" wp14:anchorId="661DD9AB" wp14:editId="094A3CB2">
            <wp:extent cx="4762500" cy="1844040"/>
            <wp:effectExtent l="0" t="0" r="0" b="3810"/>
            <wp:docPr id="1150254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844040"/>
                    </a:xfrm>
                    <a:prstGeom prst="rect">
                      <a:avLst/>
                    </a:prstGeom>
                    <a:noFill/>
                    <a:ln>
                      <a:noFill/>
                    </a:ln>
                  </pic:spPr>
                </pic:pic>
              </a:graphicData>
            </a:graphic>
          </wp:inline>
        </w:drawing>
      </w:r>
    </w:p>
    <w:p w14:paraId="4893C5CC" w14:textId="4F78F8CF" w:rsidR="0023598B" w:rsidRDefault="0023598B"/>
    <w:p w14:paraId="1D8348E2" w14:textId="77777777" w:rsidR="00DF64B3" w:rsidRDefault="00DF64B3"/>
    <w:p w14:paraId="7A52C269" w14:textId="4DB5D95A" w:rsidR="000066F5" w:rsidRDefault="000066F5" w:rsidP="000066F5">
      <w:r>
        <w:t>The noise source itself consists of 6 bit</w:t>
      </w:r>
      <w:r w:rsidR="00BE697B">
        <w:t>-</w:t>
      </w:r>
      <w:r>
        <w:t xml:space="preserve">generators which are based on ring oscillators. </w:t>
      </w:r>
      <w:r w:rsidR="00B3459A">
        <w:t xml:space="preserve">Each bit generator comprises two ring oscillators and a digitizer.  There is a single bit collector in the noise source. </w:t>
      </w:r>
    </w:p>
    <w:p w14:paraId="1B803B83" w14:textId="77777777" w:rsidR="00DF64B3" w:rsidRDefault="00DF64B3"/>
    <w:p w14:paraId="719D5EF3" w14:textId="13D63371" w:rsidR="00CC4A71" w:rsidRDefault="00CC4A71">
      <w:r>
        <w:lastRenderedPageBreak/>
        <w:t>Figure 2: Noise Source Block Diagram</w:t>
      </w:r>
    </w:p>
    <w:p w14:paraId="4CAF0295" w14:textId="4AC5DA6E" w:rsidR="00DF64B3" w:rsidRDefault="00DF64B3">
      <w:r>
        <w:object w:dxaOrig="7800" w:dyaOrig="3900" w14:anchorId="081C8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94.5pt" o:ole="">
            <v:imagedata r:id="rId6" o:title=""/>
          </v:shape>
          <o:OLEObject Type="Embed" ProgID="Visio.Drawing.15" ShapeID="_x0000_i1025" DrawAspect="Content" ObjectID="_1773220205" r:id="rId7"/>
        </w:object>
      </w:r>
    </w:p>
    <w:p w14:paraId="17112C33" w14:textId="77777777" w:rsidR="00DF64B3" w:rsidRDefault="00DF64B3"/>
    <w:p w14:paraId="17585AEE" w14:textId="77777777" w:rsidR="00DF64B3" w:rsidRDefault="00DF64B3"/>
    <w:p w14:paraId="1F9D4AFA" w14:textId="75076FCF" w:rsidR="00102780" w:rsidRDefault="008403F3">
      <w:pPr>
        <w:pStyle w:val="Heading1"/>
      </w:pPr>
      <w:bookmarkStart w:id="3" w:name="_Toc150937626"/>
      <w:r>
        <w:t>Operating Conditions</w:t>
      </w:r>
      <w:bookmarkEnd w:id="3"/>
    </w:p>
    <w:p w14:paraId="4CA5AA50" w14:textId="77777777" w:rsidR="00143592" w:rsidRDefault="00143592">
      <w:pPr>
        <w:rPr>
          <w:rFonts w:eastAsia="Times New Roman"/>
          <w:color w:val="000000"/>
          <w:sz w:val="22"/>
          <w:szCs w:val="22"/>
          <w:lang w:eastAsia="en-US"/>
        </w:rPr>
      </w:pPr>
    </w:p>
    <w:p w14:paraId="3E9A2CEE" w14:textId="54CC8E10" w:rsidR="001E236E" w:rsidRDefault="001E236E">
      <w:r>
        <w:t xml:space="preserve">Table 2: </w:t>
      </w:r>
      <w:r w:rsidR="00CF41D6">
        <w:t>Operating Conditions</w:t>
      </w:r>
    </w:p>
    <w:p w14:paraId="60669E29" w14:textId="77777777" w:rsidR="001E236E" w:rsidRDefault="001E236E">
      <w:pPr>
        <w:rPr>
          <w:rFonts w:eastAsia="Times New Roman"/>
          <w:color w:val="000000"/>
          <w:sz w:val="22"/>
          <w:szCs w:val="22"/>
          <w:lang w:eastAsia="en-US"/>
        </w:rPr>
      </w:pPr>
    </w:p>
    <w:tbl>
      <w:tblPr>
        <w:tblStyle w:val="TableGrid"/>
        <w:tblW w:w="0" w:type="auto"/>
        <w:tblLook w:val="04A0" w:firstRow="1" w:lastRow="0" w:firstColumn="1" w:lastColumn="0" w:noHBand="0" w:noVBand="1"/>
      </w:tblPr>
      <w:tblGrid>
        <w:gridCol w:w="2337"/>
        <w:gridCol w:w="2337"/>
        <w:gridCol w:w="2521"/>
        <w:gridCol w:w="2155"/>
      </w:tblGrid>
      <w:tr w:rsidR="00ED419B" w:rsidRPr="000E0B81" w14:paraId="31B4B7F1" w14:textId="77777777" w:rsidTr="001B7D58">
        <w:tc>
          <w:tcPr>
            <w:tcW w:w="2337" w:type="dxa"/>
            <w:shd w:val="clear" w:color="auto" w:fill="8DB3E2" w:themeFill="text2" w:themeFillTint="66"/>
          </w:tcPr>
          <w:p w14:paraId="7358EC78" w14:textId="0F6414D8" w:rsidR="00ED419B" w:rsidRPr="000E0B81" w:rsidRDefault="00ED419B">
            <w:pPr>
              <w:rPr>
                <w:rFonts w:eastAsia="Times New Roman"/>
                <w:color w:val="000000"/>
                <w:sz w:val="22"/>
                <w:szCs w:val="22"/>
                <w:lang w:eastAsia="en-US"/>
              </w:rPr>
            </w:pPr>
            <w:r w:rsidRPr="000E0B81">
              <w:rPr>
                <w:rFonts w:eastAsia="Times New Roman"/>
                <w:color w:val="000000"/>
                <w:sz w:val="22"/>
                <w:szCs w:val="22"/>
                <w:lang w:eastAsia="en-US"/>
              </w:rPr>
              <w:t>Part Number</w:t>
            </w:r>
          </w:p>
        </w:tc>
        <w:tc>
          <w:tcPr>
            <w:tcW w:w="2337" w:type="dxa"/>
            <w:shd w:val="clear" w:color="auto" w:fill="8DB3E2" w:themeFill="text2" w:themeFillTint="66"/>
          </w:tcPr>
          <w:p w14:paraId="35749E79" w14:textId="1C95DEDD" w:rsidR="00ED419B" w:rsidRPr="000E0B81" w:rsidRDefault="002534F3">
            <w:pPr>
              <w:rPr>
                <w:rFonts w:eastAsia="Times New Roman"/>
                <w:color w:val="000000"/>
                <w:sz w:val="22"/>
                <w:szCs w:val="22"/>
                <w:lang w:eastAsia="en-US"/>
              </w:rPr>
            </w:pPr>
            <w:r w:rsidRPr="000E0B81">
              <w:rPr>
                <w:rFonts w:eastAsia="Times New Roman"/>
                <w:color w:val="000000"/>
                <w:sz w:val="22"/>
                <w:szCs w:val="22"/>
                <w:lang w:eastAsia="en-US"/>
              </w:rPr>
              <w:t>Temperature</w:t>
            </w:r>
          </w:p>
        </w:tc>
        <w:tc>
          <w:tcPr>
            <w:tcW w:w="2521" w:type="dxa"/>
            <w:shd w:val="clear" w:color="auto" w:fill="8DB3E2" w:themeFill="text2" w:themeFillTint="66"/>
          </w:tcPr>
          <w:p w14:paraId="55F04A91" w14:textId="4EEE2FD0" w:rsidR="00ED419B" w:rsidRPr="000E0B81" w:rsidRDefault="002534F3">
            <w:pPr>
              <w:rPr>
                <w:rFonts w:eastAsia="Times New Roman"/>
                <w:color w:val="000000"/>
                <w:sz w:val="22"/>
                <w:szCs w:val="22"/>
                <w:lang w:eastAsia="en-US"/>
              </w:rPr>
            </w:pPr>
            <w:r w:rsidRPr="000E0B81">
              <w:rPr>
                <w:rFonts w:eastAsia="Times New Roman"/>
                <w:color w:val="000000"/>
                <w:sz w:val="22"/>
                <w:szCs w:val="22"/>
                <w:lang w:eastAsia="en-US"/>
              </w:rPr>
              <w:t>Voltage</w:t>
            </w:r>
          </w:p>
        </w:tc>
        <w:tc>
          <w:tcPr>
            <w:tcW w:w="2155" w:type="dxa"/>
            <w:shd w:val="clear" w:color="auto" w:fill="8DB3E2" w:themeFill="text2" w:themeFillTint="66"/>
          </w:tcPr>
          <w:p w14:paraId="7E6988DE" w14:textId="691CC38C" w:rsidR="00ED419B" w:rsidRPr="000E0B81" w:rsidRDefault="002534F3">
            <w:pPr>
              <w:rPr>
                <w:rFonts w:eastAsia="Times New Roman"/>
                <w:color w:val="000000"/>
                <w:sz w:val="22"/>
                <w:szCs w:val="22"/>
                <w:lang w:eastAsia="en-US"/>
              </w:rPr>
            </w:pPr>
            <w:r w:rsidRPr="000E0B81">
              <w:rPr>
                <w:rFonts w:eastAsia="Times New Roman"/>
                <w:color w:val="000000"/>
                <w:sz w:val="22"/>
                <w:szCs w:val="22"/>
                <w:lang w:eastAsia="en-US"/>
              </w:rPr>
              <w:t>System Activity</w:t>
            </w:r>
          </w:p>
        </w:tc>
      </w:tr>
      <w:tr w:rsidR="002534F3" w14:paraId="25086C48" w14:textId="77777777" w:rsidTr="001B7D58">
        <w:tc>
          <w:tcPr>
            <w:tcW w:w="2337" w:type="dxa"/>
          </w:tcPr>
          <w:p w14:paraId="7D0165CC" w14:textId="3AC00071" w:rsidR="002534F3" w:rsidRPr="000E0B81" w:rsidRDefault="002534F3" w:rsidP="002534F3">
            <w:pPr>
              <w:rPr>
                <w:rFonts w:eastAsia="Times New Roman"/>
                <w:color w:val="000000"/>
                <w:sz w:val="22"/>
                <w:szCs w:val="22"/>
                <w:lang w:eastAsia="en-US"/>
              </w:rPr>
            </w:pPr>
            <w:r w:rsidRPr="000E0B81">
              <w:t>Intel® IPU ES2000CC</w:t>
            </w:r>
          </w:p>
        </w:tc>
        <w:tc>
          <w:tcPr>
            <w:tcW w:w="2337" w:type="dxa"/>
          </w:tcPr>
          <w:p w14:paraId="39AB4DBA" w14:textId="33116EDA" w:rsidR="002534F3" w:rsidRPr="000E0B81" w:rsidRDefault="002534F3" w:rsidP="002534F3">
            <w:pPr>
              <w:rPr>
                <w:rFonts w:eastAsia="Times New Roman"/>
                <w:color w:val="000000"/>
                <w:sz w:val="22"/>
                <w:szCs w:val="22"/>
                <w:lang w:eastAsia="en-US"/>
              </w:rPr>
            </w:pPr>
            <w:r w:rsidRPr="000E0B81">
              <w:t>Min: 0C; Typical: 30C; Max: 105C</w:t>
            </w:r>
          </w:p>
        </w:tc>
        <w:tc>
          <w:tcPr>
            <w:tcW w:w="2521" w:type="dxa"/>
          </w:tcPr>
          <w:p w14:paraId="7BD1B3E8" w14:textId="659168D1" w:rsidR="002534F3" w:rsidRPr="000E0B81" w:rsidRDefault="002534F3" w:rsidP="002534F3">
            <w:pPr>
              <w:rPr>
                <w:rFonts w:eastAsia="Times New Roman"/>
                <w:color w:val="000000"/>
                <w:sz w:val="22"/>
                <w:szCs w:val="22"/>
                <w:lang w:eastAsia="en-US"/>
              </w:rPr>
            </w:pPr>
            <w:r w:rsidRPr="000E0B81">
              <w:t>Range: 0.7V to 0.82V</w:t>
            </w:r>
            <w:r w:rsidR="001B7D58" w:rsidRPr="000E0B81">
              <w:t>*</w:t>
            </w:r>
          </w:p>
        </w:tc>
        <w:tc>
          <w:tcPr>
            <w:tcW w:w="2155" w:type="dxa"/>
          </w:tcPr>
          <w:p w14:paraId="36EFB53B" w14:textId="76B8930A" w:rsidR="002534F3" w:rsidRPr="000E0B81" w:rsidRDefault="002534F3" w:rsidP="002534F3">
            <w:pPr>
              <w:rPr>
                <w:rFonts w:eastAsia="Times New Roman"/>
                <w:color w:val="000000"/>
                <w:sz w:val="22"/>
                <w:szCs w:val="22"/>
                <w:lang w:eastAsia="en-US"/>
              </w:rPr>
            </w:pPr>
            <w:r w:rsidRPr="000E0B81">
              <w:t>Range: 0 to 100%</w:t>
            </w:r>
          </w:p>
        </w:tc>
      </w:tr>
    </w:tbl>
    <w:p w14:paraId="70CBB223" w14:textId="77777777" w:rsidR="00F906F7" w:rsidRDefault="00F906F7">
      <w:pPr>
        <w:rPr>
          <w:rFonts w:eastAsia="Times New Roman"/>
          <w:color w:val="000000"/>
          <w:sz w:val="22"/>
          <w:szCs w:val="22"/>
          <w:lang w:eastAsia="en-US"/>
        </w:rPr>
      </w:pPr>
    </w:p>
    <w:p w14:paraId="4C03F24A" w14:textId="6135B082" w:rsidR="001B7D58" w:rsidRDefault="001B7D58">
      <w:pPr>
        <w:rPr>
          <w:rFonts w:eastAsia="Times New Roman"/>
          <w:color w:val="000000"/>
          <w:sz w:val="22"/>
          <w:szCs w:val="22"/>
          <w:lang w:eastAsia="en-US"/>
        </w:rPr>
      </w:pPr>
      <w:r>
        <w:rPr>
          <w:rFonts w:eastAsia="Times New Roman"/>
          <w:color w:val="000000"/>
          <w:sz w:val="22"/>
          <w:szCs w:val="22"/>
          <w:lang w:eastAsia="en-US"/>
        </w:rPr>
        <w:t>*</w:t>
      </w:r>
      <w:r w:rsidRPr="001B7D58">
        <w:t xml:space="preserve"> </w:t>
      </w:r>
      <w:r w:rsidRPr="001B7D58">
        <w:rPr>
          <w:rFonts w:eastAsia="Times New Roman"/>
          <w:color w:val="000000"/>
          <w:sz w:val="22"/>
          <w:szCs w:val="22"/>
          <w:lang w:eastAsia="en-US"/>
        </w:rPr>
        <w:t>The TRNG is on a fixed voltage supply per individual SOC, externally regulated and internally specified. So, voltage cannot be varied. During manufacturing, the test program searches for the minimum voltage (within reliability guardrails) necessary for that device to operate – this accounts for temperature and process corner. That minimum voltage is fused into the part. Testing occurred at this specific per-SOC voltage. For the aggregate of all SOCs, the voltage may range from 0.7V to 0.82V.</w:t>
      </w:r>
    </w:p>
    <w:p w14:paraId="6FDA348C" w14:textId="77777777" w:rsidR="001E236E" w:rsidRDefault="001E236E">
      <w:pPr>
        <w:rPr>
          <w:rFonts w:eastAsia="Times New Roman"/>
          <w:color w:val="000000"/>
          <w:sz w:val="22"/>
          <w:szCs w:val="22"/>
          <w:lang w:eastAsia="en-US"/>
        </w:rPr>
      </w:pPr>
    </w:p>
    <w:p w14:paraId="1AF5C003" w14:textId="77777777" w:rsidR="00102780" w:rsidRDefault="008403F3">
      <w:pPr>
        <w:pStyle w:val="Heading1"/>
      </w:pPr>
      <w:bookmarkStart w:id="4" w:name="_Toc150937627"/>
      <w:r>
        <w:t>Configuration Settings</w:t>
      </w:r>
      <w:bookmarkEnd w:id="4"/>
    </w:p>
    <w:p w14:paraId="2507ED9F" w14:textId="59558DCF" w:rsidR="004C2A5E" w:rsidRDefault="00025FA0">
      <w:r>
        <w:t xml:space="preserve">The </w:t>
      </w:r>
      <w:r w:rsidR="00A67078">
        <w:t>entropy source</w:t>
      </w:r>
      <w:r w:rsidRPr="00025FA0">
        <w:t xml:space="preserve"> </w:t>
      </w:r>
      <w:r w:rsidR="005A383A" w:rsidRPr="005A383A">
        <w:t xml:space="preserve">does not require configuration of entropy-relevant parameters. </w:t>
      </w:r>
      <w:r w:rsidR="008D5481">
        <w:t xml:space="preserve">Settings such as sample interval, </w:t>
      </w:r>
      <w:r w:rsidR="00DE2C1D">
        <w:t xml:space="preserve">startup delay, health test enable, </w:t>
      </w:r>
      <w:r w:rsidR="00C26E38">
        <w:t>etc. are all statically configured at build time and cannot be changed</w:t>
      </w:r>
      <w:r w:rsidR="0000188B">
        <w:t xml:space="preserve"> in the hardware. </w:t>
      </w:r>
    </w:p>
    <w:p w14:paraId="2C406B91" w14:textId="77777777" w:rsidR="002F26AC" w:rsidRDefault="002F26AC"/>
    <w:p w14:paraId="73F2540F" w14:textId="00BD23C4" w:rsidR="00ED5984" w:rsidRDefault="00CF6DD1">
      <w:r>
        <w:t xml:space="preserve">There is the ability to adjust the ring length in the clock ring in each bit generator. </w:t>
      </w:r>
      <w:r w:rsidR="00454B09" w:rsidRPr="00454B09">
        <w:t xml:space="preserve">The MAX_REJECTS field dictates the maximum number of consecutive bit rejections that </w:t>
      </w:r>
      <w:r w:rsidR="008D65AC" w:rsidRPr="00454B09">
        <w:t>must</w:t>
      </w:r>
      <w:r w:rsidR="002304BA">
        <w:t xml:space="preserve"> </w:t>
      </w:r>
      <w:r w:rsidR="00454B09" w:rsidRPr="00454B09">
        <w:cr/>
        <w:t>occur within a single bit generator before the ring feedback control system dynamically adjusted the</w:t>
      </w:r>
      <w:r w:rsidR="008D65AC">
        <w:t xml:space="preserve"> f</w:t>
      </w:r>
      <w:r w:rsidR="00454B09" w:rsidRPr="00454B09">
        <w:t>requency of the affected bit generator. There is usually no need to adjust this register. It is primarily</w:t>
      </w:r>
      <w:r w:rsidR="008D65AC">
        <w:t xml:space="preserve"> </w:t>
      </w:r>
      <w:r w:rsidR="00454B09" w:rsidRPr="00454B09">
        <w:t>for test purposes.</w:t>
      </w:r>
    </w:p>
    <w:p w14:paraId="4F3DBBD4" w14:textId="77777777" w:rsidR="00ED5984" w:rsidRDefault="00ED5984"/>
    <w:p w14:paraId="3C9D1636" w14:textId="77777777" w:rsidR="00102780" w:rsidRDefault="008403F3">
      <w:pPr>
        <w:pStyle w:val="Heading1"/>
      </w:pPr>
      <w:bookmarkStart w:id="5" w:name="_Toc150937628"/>
      <w:r>
        <w:lastRenderedPageBreak/>
        <w:t>Physical Security Mechanisms</w:t>
      </w:r>
      <w:bookmarkEnd w:id="5"/>
    </w:p>
    <w:p w14:paraId="30F5E149" w14:textId="5E0C5DFC" w:rsidR="00EC7CC6" w:rsidRDefault="006C7A69" w:rsidP="006C7A69">
      <w:r>
        <w:t xml:space="preserve">The </w:t>
      </w:r>
      <w:r w:rsidR="00633B41" w:rsidRPr="00633B41">
        <w:t>TRNG Entropy Source</w:t>
      </w:r>
      <w:r w:rsidR="00633B41">
        <w:t xml:space="preserve"> </w:t>
      </w:r>
      <w:r w:rsidR="00FE6DB6">
        <w:t>is embedded in the system on chip (SOCs)</w:t>
      </w:r>
      <w:r w:rsidR="007D21E6">
        <w:t xml:space="preserve"> listed above. </w:t>
      </w:r>
      <w:r w:rsidR="0057284B">
        <w:t xml:space="preserve">The SoCs are single-chip embodiments of production-grade components that include standard passivation. </w:t>
      </w:r>
      <w:r w:rsidR="002033E9">
        <w:t>The SOCs</w:t>
      </w:r>
      <w:r w:rsidR="0057284B">
        <w:t xml:space="preserve"> </w:t>
      </w:r>
      <w:r w:rsidR="006D123B">
        <w:t>are only usable when</w:t>
      </w:r>
      <w:r w:rsidR="0057284B">
        <w:t xml:space="preserve"> soldered </w:t>
      </w:r>
      <w:r w:rsidR="008E2610">
        <w:t>to printed circuit</w:t>
      </w:r>
      <w:r w:rsidR="0057284B">
        <w:t xml:space="preserve"> </w:t>
      </w:r>
      <w:r w:rsidR="00DC6B94">
        <w:t>board and</w:t>
      </w:r>
      <w:r w:rsidR="00C87165">
        <w:t xml:space="preserve"> are</w:t>
      </w:r>
      <w:r w:rsidR="0057284B">
        <w:t xml:space="preserve"> </w:t>
      </w:r>
      <w:r w:rsidR="008E2610">
        <w:t xml:space="preserve">typically </w:t>
      </w:r>
      <w:r w:rsidR="00C87165">
        <w:t xml:space="preserve">packaged </w:t>
      </w:r>
      <w:r w:rsidR="008E2610">
        <w:t xml:space="preserve">using a </w:t>
      </w:r>
      <w:r w:rsidR="0057284B">
        <w:t>ball grid array (BGA)</w:t>
      </w:r>
      <w:r w:rsidR="008E2610">
        <w:t xml:space="preserve"> package. </w:t>
      </w:r>
      <w:r w:rsidR="00242407">
        <w:t xml:space="preserve">The entropy source </w:t>
      </w:r>
      <w:r>
        <w:t>operates within the physical protections of the associated device package</w:t>
      </w:r>
      <w:r w:rsidR="00242407">
        <w:t xml:space="preserve">. This </w:t>
      </w:r>
      <w:r w:rsidR="00EC7CC6">
        <w:t xml:space="preserve">is </w:t>
      </w:r>
      <w:r>
        <w:t xml:space="preserve">capable of meeting FIPS 140-3 Level </w:t>
      </w:r>
      <w:r w:rsidR="00EC7CC6">
        <w:t xml:space="preserve">1 </w:t>
      </w:r>
      <w:r w:rsidR="00F16849">
        <w:t xml:space="preserve">or 2 </w:t>
      </w:r>
      <w:r w:rsidR="00EC7CC6">
        <w:t>r</w:t>
      </w:r>
      <w:r>
        <w:t xml:space="preserve">equirements without additional </w:t>
      </w:r>
      <w:r w:rsidR="004C0398">
        <w:t xml:space="preserve">security </w:t>
      </w:r>
      <w:r>
        <w:t>measures.</w:t>
      </w:r>
      <w:r w:rsidR="004C0398">
        <w:t xml:space="preserve"> Any require</w:t>
      </w:r>
      <w:r w:rsidR="006D123B">
        <w:t xml:space="preserve">d additional security measures such as tamper seals, etc. exist outside the package at the enclosure level. </w:t>
      </w:r>
      <w:r w:rsidR="003C0D1D">
        <w:t>Any module integrating an SOC with the Intel entropy source included within th</w:t>
      </w:r>
      <w:r w:rsidR="003C0D1D" w:rsidRPr="003C0D1D">
        <w:t>eir boundary must fulfill the physical security requirements appropriate to the targeted module type and security level.</w:t>
      </w:r>
    </w:p>
    <w:p w14:paraId="27F30788" w14:textId="77777777" w:rsidR="000119B5" w:rsidRDefault="000119B5" w:rsidP="006C7A69"/>
    <w:p w14:paraId="642BDB7E" w14:textId="583C5B16" w:rsidR="000119B5" w:rsidRDefault="00AC493E" w:rsidP="006C7A69">
      <w:r w:rsidRPr="00AC493E">
        <w:t>The entropy source</w:t>
      </w:r>
      <w:r>
        <w:t xml:space="preserve"> </w:t>
      </w:r>
      <w:r w:rsidRPr="00AC493E">
        <w:t xml:space="preserve">is only accessible by the </w:t>
      </w:r>
      <w:r w:rsidR="003F7E7B">
        <w:t>internal</w:t>
      </w:r>
      <w:r w:rsidRPr="00AC493E">
        <w:t xml:space="preserve"> processor </w:t>
      </w:r>
      <w:r w:rsidR="003F7E7B">
        <w:t xml:space="preserve">which is typically </w:t>
      </w:r>
      <w:r w:rsidRPr="00AC493E">
        <w:t>running authenticated code. Direct access to</w:t>
      </w:r>
      <w:r w:rsidR="003F7E7B">
        <w:t xml:space="preserve"> </w:t>
      </w:r>
      <w:r w:rsidRPr="00AC493E">
        <w:t>the entropy source is not possible from any other interface.</w:t>
      </w:r>
      <w:r w:rsidR="003F7E7B">
        <w:t xml:space="preserve"> </w:t>
      </w:r>
      <w:r w:rsidR="000119B5">
        <w:t xml:space="preserve">Zeroization of the TRNG including the entropy source </w:t>
      </w:r>
      <w:r w:rsidR="002266E2">
        <w:t xml:space="preserve">occurs after reset and </w:t>
      </w:r>
      <w:r w:rsidR="000119B5">
        <w:t xml:space="preserve">is available upon demand </w:t>
      </w:r>
      <w:r w:rsidR="00F43961">
        <w:t xml:space="preserve">and may be triggered by internal processor within the SOC. </w:t>
      </w:r>
    </w:p>
    <w:p w14:paraId="057F0AED" w14:textId="77777777" w:rsidR="00102780" w:rsidRDefault="008403F3">
      <w:pPr>
        <w:pStyle w:val="Heading1"/>
      </w:pPr>
      <w:bookmarkStart w:id="6" w:name="_Toc150937629"/>
      <w:r>
        <w:t>Conceptual Interfaces</w:t>
      </w:r>
      <w:bookmarkEnd w:id="6"/>
    </w:p>
    <w:p w14:paraId="5357767A" w14:textId="5FA2EDDB" w:rsidR="00DC79EF" w:rsidRDefault="00C62A04">
      <w:r w:rsidRPr="00C62A04">
        <w:t>The Generate Noise command is issued via a control register which causes the entropy source inside the TRNG to provide a new 384-bit full-entropy seed for the DRBG</w:t>
      </w:r>
      <w:r w:rsidR="00A807C1">
        <w:t xml:space="preserve"> available</w:t>
      </w:r>
      <w:r w:rsidR="000F4325">
        <w:t xml:space="preserve"> in the Conditioned Output Register</w:t>
      </w:r>
      <w:r w:rsidRPr="00C62A04">
        <w:t>. Once the GEN_NOISE command is issued, the noise source generates a 512-bit block of noise and passes that through the conditioning component to generate 128-bits of the final seed. GEN_NOISE repeats this operation 3 times to produce a complete 384-bit seed (output of conditioning component).</w:t>
      </w:r>
    </w:p>
    <w:p w14:paraId="21714879" w14:textId="77777777" w:rsidR="00DC79EF" w:rsidRDefault="00DC79EF"/>
    <w:p w14:paraId="33314240" w14:textId="77777777" w:rsidR="00102780" w:rsidRDefault="008403F3">
      <w:pPr>
        <w:pStyle w:val="Heading1"/>
      </w:pPr>
      <w:bookmarkStart w:id="7" w:name="_Toc150937630"/>
      <w:r>
        <w:t>Min-Entropy Rate</w:t>
      </w:r>
      <w:bookmarkEnd w:id="7"/>
    </w:p>
    <w:p w14:paraId="31A8C554" w14:textId="68BB8E35" w:rsidR="00F03E38" w:rsidRPr="003B2208" w:rsidRDefault="00894135" w:rsidP="00894135">
      <w:r w:rsidRPr="003B2208">
        <w:t>The H_submitter is 0.</w:t>
      </w:r>
      <w:r w:rsidR="005C30F7" w:rsidRPr="003B2208">
        <w:t>989</w:t>
      </w:r>
      <w:r w:rsidR="00816B0D" w:rsidRPr="003B2208">
        <w:t xml:space="preserve"> min-entropy per bit of any contiguous </w:t>
      </w:r>
      <w:r w:rsidR="00C547D5" w:rsidRPr="003B2208">
        <w:t>512-bit</w:t>
      </w:r>
      <w:r w:rsidR="00816B0D" w:rsidRPr="003B2208">
        <w:t xml:space="preserve"> output sample.</w:t>
      </w:r>
    </w:p>
    <w:p w14:paraId="132100A1" w14:textId="0FD6F8AE" w:rsidR="00894135" w:rsidRDefault="00C24A90" w:rsidP="00894135">
      <w:r w:rsidRPr="003B2208">
        <w:t xml:space="preserve">The H_out with the vetted conditioning component is </w:t>
      </w:r>
      <w:r w:rsidR="00FE46FF" w:rsidRPr="003B2208">
        <w:t>127.</w:t>
      </w:r>
      <w:r w:rsidR="00FD10F1" w:rsidRPr="003B2208">
        <w:t>9999999999996732 based on n_in: 512, n_out: 128</w:t>
      </w:r>
      <w:r w:rsidR="00B6514D" w:rsidRPr="003B2208">
        <w:t xml:space="preserve">, nw: 128 and h_in: 170. </w:t>
      </w:r>
      <w:r w:rsidR="007E31B6" w:rsidRPr="003B2208">
        <w:t>The within 512 bits that are input to the conditioner for each seed is required to be &gt; 170/512 bits or H= 0.33.</w:t>
      </w:r>
      <w:r w:rsidR="007E31B6" w:rsidRPr="007E31B6">
        <w:t xml:space="preserve">  </w:t>
      </w:r>
    </w:p>
    <w:p w14:paraId="12F43396" w14:textId="77777777" w:rsidR="00102780" w:rsidRDefault="008403F3">
      <w:pPr>
        <w:pStyle w:val="Heading1"/>
      </w:pPr>
      <w:bookmarkStart w:id="8" w:name="_Toc150937631"/>
      <w:r>
        <w:t>Health Tests</w:t>
      </w:r>
      <w:bookmarkEnd w:id="8"/>
    </w:p>
    <w:p w14:paraId="2106FC6E" w14:textId="6451D569" w:rsidR="00A90FC7" w:rsidRPr="00A90FC7" w:rsidRDefault="007D1508" w:rsidP="009616C4">
      <w:pPr>
        <w:rPr>
          <w:rFonts w:asciiTheme="majorHAnsi" w:hAnsiTheme="majorHAnsi" w:cstheme="majorHAnsi"/>
        </w:rPr>
      </w:pPr>
      <w:r w:rsidRPr="007D1508">
        <w:t xml:space="preserve">The </w:t>
      </w:r>
      <w:r w:rsidR="006123ED" w:rsidRPr="006123ED">
        <w:t>TRNG Entropy Source</w:t>
      </w:r>
      <w:r w:rsidR="006123ED">
        <w:t xml:space="preserve"> </w:t>
      </w:r>
      <w:r w:rsidRPr="007D1508">
        <w:t>performs the NIST SP800-90B required health tests on the entropy source. One round of K</w:t>
      </w:r>
      <w:r w:rsidR="00135B5B">
        <w:t>nown Answer Test (K</w:t>
      </w:r>
      <w:r w:rsidRPr="007D1508">
        <w:t>AT</w:t>
      </w:r>
      <w:r w:rsidR="00135B5B">
        <w:t>/CAST)</w:t>
      </w:r>
      <w:r w:rsidRPr="007D1508">
        <w:t xml:space="preserve"> on the conditioning component plus a full round of statistical tests on the noise source are performed as the start-up test after reset. The number of noise bits that are generated and tested as part of the start-up test is 1024-bits. All bits generated and tested during the start-up test are discarded after the test regardless of the success or failure of the test.</w:t>
      </w:r>
      <w:r w:rsidR="0057704E">
        <w:t xml:space="preserve"> </w:t>
      </w:r>
      <w:r w:rsidR="00A90FC7" w:rsidRPr="00A90FC7">
        <w:rPr>
          <w:rFonts w:asciiTheme="majorHAnsi" w:hAnsiTheme="majorHAnsi" w:cstheme="majorHAnsi"/>
        </w:rPr>
        <w:t xml:space="preserve">The entropy health test block receives bits coming out of the noise source and performs continuous statistical tests on those bits. </w:t>
      </w:r>
    </w:p>
    <w:p w14:paraId="240EBD29" w14:textId="77777777" w:rsidR="00A90FC7" w:rsidRPr="00A90FC7" w:rsidRDefault="00A90FC7" w:rsidP="00A90FC7">
      <w:pPr>
        <w:pStyle w:val="Body"/>
        <w:rPr>
          <w:rFonts w:asciiTheme="majorHAnsi" w:hAnsiTheme="majorHAnsi" w:cstheme="majorHAnsi"/>
        </w:rPr>
      </w:pPr>
      <w:r w:rsidRPr="00A90FC7">
        <w:rPr>
          <w:rFonts w:asciiTheme="majorHAnsi" w:hAnsiTheme="majorHAnsi" w:cstheme="majorHAnsi"/>
        </w:rPr>
        <w:t>The continuous NIST SP800-90B health tests include:</w:t>
      </w:r>
    </w:p>
    <w:p w14:paraId="647BA662" w14:textId="77777777" w:rsidR="00A90FC7" w:rsidRPr="00A90FC7" w:rsidRDefault="00A90FC7" w:rsidP="00A90FC7">
      <w:pPr>
        <w:pStyle w:val="Body"/>
        <w:numPr>
          <w:ilvl w:val="0"/>
          <w:numId w:val="2"/>
        </w:numPr>
        <w:rPr>
          <w:rFonts w:asciiTheme="majorHAnsi" w:hAnsiTheme="majorHAnsi" w:cstheme="majorHAnsi"/>
        </w:rPr>
      </w:pPr>
      <w:r w:rsidRPr="00A90FC7">
        <w:rPr>
          <w:rFonts w:asciiTheme="majorHAnsi" w:hAnsiTheme="majorHAnsi" w:cstheme="majorHAnsi"/>
        </w:rPr>
        <w:t>Repetition Count Test (RCT)</w:t>
      </w:r>
    </w:p>
    <w:p w14:paraId="76AAEB4B" w14:textId="77777777" w:rsidR="00A90FC7" w:rsidRPr="00A90FC7" w:rsidRDefault="00A90FC7" w:rsidP="00A90FC7">
      <w:pPr>
        <w:pStyle w:val="Body"/>
        <w:numPr>
          <w:ilvl w:val="0"/>
          <w:numId w:val="2"/>
        </w:numPr>
        <w:rPr>
          <w:rFonts w:asciiTheme="majorHAnsi" w:hAnsiTheme="majorHAnsi" w:cstheme="majorHAnsi"/>
        </w:rPr>
      </w:pPr>
      <w:r w:rsidRPr="00A90FC7">
        <w:rPr>
          <w:rFonts w:asciiTheme="majorHAnsi" w:hAnsiTheme="majorHAnsi" w:cstheme="majorHAnsi"/>
        </w:rPr>
        <w:t>Adaptive Proportion Test (APT)</w:t>
      </w:r>
    </w:p>
    <w:p w14:paraId="16119974" w14:textId="77777777" w:rsidR="00A90FC7" w:rsidRPr="00A90FC7" w:rsidRDefault="00A90FC7" w:rsidP="00A90FC7">
      <w:pPr>
        <w:pStyle w:val="Body"/>
        <w:rPr>
          <w:rFonts w:asciiTheme="majorHAnsi" w:hAnsiTheme="majorHAnsi" w:cstheme="majorHAnsi"/>
        </w:rPr>
      </w:pPr>
      <w:r w:rsidRPr="00A90FC7">
        <w:rPr>
          <w:rFonts w:asciiTheme="majorHAnsi" w:hAnsiTheme="majorHAnsi" w:cstheme="majorHAnsi"/>
        </w:rPr>
        <w:lastRenderedPageBreak/>
        <w:t>The health tests always run during mission mode of operation. Health tests can only be individually disabled at runtime when the core is in test mode. In mission mode, health tests cannot be disabled. Any transition between test and mission modes, enable all health tests.</w:t>
      </w:r>
    </w:p>
    <w:p w14:paraId="3C38BEB3" w14:textId="77777777" w:rsidR="00A90FC7" w:rsidRPr="00A90FC7" w:rsidRDefault="00A90FC7" w:rsidP="00A90FC7">
      <w:pPr>
        <w:pStyle w:val="Body"/>
        <w:rPr>
          <w:rFonts w:asciiTheme="majorHAnsi" w:hAnsiTheme="majorHAnsi" w:cstheme="majorHAnsi"/>
        </w:rPr>
      </w:pPr>
      <w:r w:rsidRPr="00A90FC7">
        <w:rPr>
          <w:rFonts w:asciiTheme="majorHAnsi" w:hAnsiTheme="majorHAnsi" w:cstheme="majorHAnsi"/>
        </w:rPr>
        <w:t>The following parameters are used for the RCT:</w:t>
      </w:r>
    </w:p>
    <w:tbl>
      <w:tblPr>
        <w:tblStyle w:val="TableGrid"/>
        <w:tblW w:w="0" w:type="auto"/>
        <w:tblLook w:val="04A0" w:firstRow="1" w:lastRow="0" w:firstColumn="1" w:lastColumn="0" w:noHBand="0" w:noVBand="1"/>
      </w:tblPr>
      <w:tblGrid>
        <w:gridCol w:w="2965"/>
        <w:gridCol w:w="1710"/>
      </w:tblGrid>
      <w:tr w:rsidR="00A90FC7" w:rsidRPr="00A90FC7" w14:paraId="44B1F707" w14:textId="77777777" w:rsidTr="00E84EDD">
        <w:tc>
          <w:tcPr>
            <w:tcW w:w="2965" w:type="dxa"/>
            <w:shd w:val="clear" w:color="auto" w:fill="8DB3E2" w:themeFill="text2" w:themeFillTint="66"/>
          </w:tcPr>
          <w:p w14:paraId="67F89E69"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 xml:space="preserve"> Parameter</w:t>
            </w:r>
          </w:p>
        </w:tc>
        <w:tc>
          <w:tcPr>
            <w:tcW w:w="1710" w:type="dxa"/>
            <w:shd w:val="clear" w:color="auto" w:fill="8DB3E2" w:themeFill="text2" w:themeFillTint="66"/>
          </w:tcPr>
          <w:p w14:paraId="47E203A0"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Value</w:t>
            </w:r>
          </w:p>
        </w:tc>
      </w:tr>
      <w:tr w:rsidR="00A90FC7" w:rsidRPr="00A90FC7" w14:paraId="7DCB3B37" w14:textId="77777777" w:rsidTr="00F221A0">
        <w:tc>
          <w:tcPr>
            <w:tcW w:w="2965" w:type="dxa"/>
          </w:tcPr>
          <w:p w14:paraId="7A5EA294"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 xml:space="preserve">Sample size </w:t>
            </w:r>
          </w:p>
        </w:tc>
        <w:tc>
          <w:tcPr>
            <w:tcW w:w="1710" w:type="dxa"/>
          </w:tcPr>
          <w:p w14:paraId="1B8FFC35"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1 bit</w:t>
            </w:r>
          </w:p>
        </w:tc>
      </w:tr>
      <w:tr w:rsidR="00A90FC7" w:rsidRPr="00A90FC7" w14:paraId="4519E375" w14:textId="77777777" w:rsidTr="00F221A0">
        <w:tc>
          <w:tcPr>
            <w:tcW w:w="2965" w:type="dxa"/>
          </w:tcPr>
          <w:p w14:paraId="78ABB57F"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Min-Entropy</w:t>
            </w:r>
          </w:p>
        </w:tc>
        <w:tc>
          <w:tcPr>
            <w:tcW w:w="1710" w:type="dxa"/>
          </w:tcPr>
          <w:p w14:paraId="6E5EC78A"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H=50%</w:t>
            </w:r>
          </w:p>
        </w:tc>
      </w:tr>
      <w:tr w:rsidR="00A90FC7" w:rsidRPr="00A90FC7" w14:paraId="2F9738F7" w14:textId="77777777" w:rsidTr="00F221A0">
        <w:tc>
          <w:tcPr>
            <w:tcW w:w="2965" w:type="dxa"/>
          </w:tcPr>
          <w:p w14:paraId="0D37CFC1"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Cutoff value</w:t>
            </w:r>
          </w:p>
        </w:tc>
        <w:tc>
          <w:tcPr>
            <w:tcW w:w="1710" w:type="dxa"/>
          </w:tcPr>
          <w:p w14:paraId="3129E732"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C=41</w:t>
            </w:r>
          </w:p>
        </w:tc>
      </w:tr>
      <w:tr w:rsidR="00A90FC7" w:rsidRPr="00A90FC7" w14:paraId="7C5B5772" w14:textId="77777777" w:rsidTr="00F221A0">
        <w:tc>
          <w:tcPr>
            <w:tcW w:w="2965" w:type="dxa"/>
          </w:tcPr>
          <w:p w14:paraId="5771205D"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Window Size</w:t>
            </w:r>
          </w:p>
        </w:tc>
        <w:tc>
          <w:tcPr>
            <w:tcW w:w="1710" w:type="dxa"/>
          </w:tcPr>
          <w:p w14:paraId="29F37850"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w=1024</w:t>
            </w:r>
          </w:p>
        </w:tc>
      </w:tr>
      <w:tr w:rsidR="00A90FC7" w:rsidRPr="00A90FC7" w14:paraId="66B4AE84" w14:textId="77777777" w:rsidTr="00F221A0">
        <w:tc>
          <w:tcPr>
            <w:tcW w:w="2965" w:type="dxa"/>
          </w:tcPr>
          <w:p w14:paraId="5736AE11"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False positive error rate</w:t>
            </w:r>
          </w:p>
        </w:tc>
        <w:tc>
          <w:tcPr>
            <w:tcW w:w="1710" w:type="dxa"/>
          </w:tcPr>
          <w:p w14:paraId="67C0B38A"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Alpha = 2</w:t>
            </w:r>
            <w:r w:rsidRPr="00A90FC7">
              <w:rPr>
                <w:rFonts w:asciiTheme="majorHAnsi" w:hAnsiTheme="majorHAnsi" w:cstheme="majorHAnsi"/>
                <w:vertAlign w:val="superscript"/>
              </w:rPr>
              <w:t>-20</w:t>
            </w:r>
          </w:p>
        </w:tc>
      </w:tr>
    </w:tbl>
    <w:p w14:paraId="3C97E1AF" w14:textId="77777777" w:rsidR="00A90FC7" w:rsidRPr="00A90FC7" w:rsidRDefault="00A90FC7" w:rsidP="00A90FC7">
      <w:pPr>
        <w:pStyle w:val="Body"/>
        <w:rPr>
          <w:rFonts w:asciiTheme="majorHAnsi" w:hAnsiTheme="majorHAnsi" w:cstheme="majorHAnsi"/>
        </w:rPr>
      </w:pPr>
    </w:p>
    <w:p w14:paraId="29B9C759" w14:textId="77777777" w:rsidR="00A90FC7" w:rsidRPr="00A90FC7" w:rsidRDefault="00A90FC7" w:rsidP="00A90FC7">
      <w:pPr>
        <w:pStyle w:val="Body"/>
        <w:rPr>
          <w:rFonts w:asciiTheme="majorHAnsi" w:hAnsiTheme="majorHAnsi" w:cstheme="majorHAnsi"/>
        </w:rPr>
      </w:pPr>
      <w:r w:rsidRPr="00A90FC7">
        <w:rPr>
          <w:rFonts w:asciiTheme="majorHAnsi" w:hAnsiTheme="majorHAnsi" w:cstheme="majorHAnsi"/>
        </w:rPr>
        <w:t>The following parameters are used for the APT:</w:t>
      </w:r>
    </w:p>
    <w:tbl>
      <w:tblPr>
        <w:tblStyle w:val="TableGrid"/>
        <w:tblW w:w="0" w:type="auto"/>
        <w:tblLook w:val="04A0" w:firstRow="1" w:lastRow="0" w:firstColumn="1" w:lastColumn="0" w:noHBand="0" w:noVBand="1"/>
      </w:tblPr>
      <w:tblGrid>
        <w:gridCol w:w="2965"/>
        <w:gridCol w:w="1710"/>
      </w:tblGrid>
      <w:tr w:rsidR="00A90FC7" w:rsidRPr="00A90FC7" w14:paraId="01ED3524" w14:textId="77777777" w:rsidTr="00E84EDD">
        <w:tc>
          <w:tcPr>
            <w:tcW w:w="2965" w:type="dxa"/>
            <w:shd w:val="clear" w:color="auto" w:fill="8DB3E2" w:themeFill="text2" w:themeFillTint="66"/>
          </w:tcPr>
          <w:p w14:paraId="572173D4"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Parameter</w:t>
            </w:r>
          </w:p>
        </w:tc>
        <w:tc>
          <w:tcPr>
            <w:tcW w:w="1710" w:type="dxa"/>
            <w:shd w:val="clear" w:color="auto" w:fill="8DB3E2" w:themeFill="text2" w:themeFillTint="66"/>
          </w:tcPr>
          <w:p w14:paraId="39656555"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Value</w:t>
            </w:r>
          </w:p>
        </w:tc>
      </w:tr>
      <w:tr w:rsidR="00A90FC7" w:rsidRPr="00A90FC7" w14:paraId="4A91C6E7" w14:textId="77777777" w:rsidTr="00F221A0">
        <w:tc>
          <w:tcPr>
            <w:tcW w:w="2965" w:type="dxa"/>
          </w:tcPr>
          <w:p w14:paraId="041C4F98"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 xml:space="preserve">Sample size </w:t>
            </w:r>
          </w:p>
        </w:tc>
        <w:tc>
          <w:tcPr>
            <w:tcW w:w="1710" w:type="dxa"/>
          </w:tcPr>
          <w:p w14:paraId="4D261F76"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8 bits</w:t>
            </w:r>
          </w:p>
        </w:tc>
      </w:tr>
      <w:tr w:rsidR="00A90FC7" w:rsidRPr="00A90FC7" w14:paraId="47829F6C" w14:textId="77777777" w:rsidTr="00F221A0">
        <w:tc>
          <w:tcPr>
            <w:tcW w:w="2965" w:type="dxa"/>
          </w:tcPr>
          <w:p w14:paraId="55885CB1"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Min-Entropy</w:t>
            </w:r>
          </w:p>
        </w:tc>
        <w:tc>
          <w:tcPr>
            <w:tcW w:w="1710" w:type="dxa"/>
          </w:tcPr>
          <w:p w14:paraId="6B58C4CB"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H=50%</w:t>
            </w:r>
          </w:p>
        </w:tc>
      </w:tr>
      <w:tr w:rsidR="00A90FC7" w:rsidRPr="00A90FC7" w14:paraId="6AE30213" w14:textId="77777777" w:rsidTr="00F221A0">
        <w:tc>
          <w:tcPr>
            <w:tcW w:w="2965" w:type="dxa"/>
          </w:tcPr>
          <w:p w14:paraId="792ADFDA"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Cutoff Value</w:t>
            </w:r>
          </w:p>
        </w:tc>
        <w:tc>
          <w:tcPr>
            <w:tcW w:w="1710" w:type="dxa"/>
          </w:tcPr>
          <w:p w14:paraId="7CDAA46E"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C=793</w:t>
            </w:r>
          </w:p>
        </w:tc>
      </w:tr>
      <w:tr w:rsidR="00A90FC7" w:rsidRPr="00A90FC7" w14:paraId="1E19C010" w14:textId="77777777" w:rsidTr="00F221A0">
        <w:tc>
          <w:tcPr>
            <w:tcW w:w="2965" w:type="dxa"/>
          </w:tcPr>
          <w:p w14:paraId="21D38552"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Window Size</w:t>
            </w:r>
          </w:p>
        </w:tc>
        <w:tc>
          <w:tcPr>
            <w:tcW w:w="1710" w:type="dxa"/>
          </w:tcPr>
          <w:p w14:paraId="4AAE5C5A"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w=1024</w:t>
            </w:r>
          </w:p>
        </w:tc>
      </w:tr>
      <w:tr w:rsidR="00A90FC7" w:rsidRPr="00A90FC7" w14:paraId="62BDB995" w14:textId="77777777" w:rsidTr="00F221A0">
        <w:tc>
          <w:tcPr>
            <w:tcW w:w="2965" w:type="dxa"/>
          </w:tcPr>
          <w:p w14:paraId="5CE9F7B5"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False positive error rate</w:t>
            </w:r>
          </w:p>
        </w:tc>
        <w:tc>
          <w:tcPr>
            <w:tcW w:w="1710" w:type="dxa"/>
          </w:tcPr>
          <w:p w14:paraId="16D0C90D" w14:textId="77777777" w:rsidR="00A90FC7" w:rsidRPr="00A90FC7" w:rsidRDefault="00A90FC7" w:rsidP="00F221A0">
            <w:pPr>
              <w:pStyle w:val="Body"/>
              <w:rPr>
                <w:rFonts w:asciiTheme="majorHAnsi" w:hAnsiTheme="majorHAnsi" w:cstheme="majorHAnsi"/>
              </w:rPr>
            </w:pPr>
            <w:r w:rsidRPr="00A90FC7">
              <w:rPr>
                <w:rFonts w:asciiTheme="majorHAnsi" w:hAnsiTheme="majorHAnsi" w:cstheme="majorHAnsi"/>
              </w:rPr>
              <w:t>Alpha = 2</w:t>
            </w:r>
            <w:r w:rsidRPr="00A90FC7">
              <w:rPr>
                <w:rFonts w:asciiTheme="majorHAnsi" w:hAnsiTheme="majorHAnsi" w:cstheme="majorHAnsi"/>
                <w:vertAlign w:val="superscript"/>
              </w:rPr>
              <w:t>-20</w:t>
            </w:r>
          </w:p>
        </w:tc>
      </w:tr>
    </w:tbl>
    <w:p w14:paraId="7A906E98" w14:textId="77777777" w:rsidR="00A90FC7" w:rsidRDefault="00A90FC7" w:rsidP="00873580"/>
    <w:p w14:paraId="32546BD0" w14:textId="77777777" w:rsidR="00A90FC7" w:rsidRDefault="00A90FC7" w:rsidP="00873580"/>
    <w:p w14:paraId="2A606C80" w14:textId="0E0A6B4B" w:rsidR="00C525C9" w:rsidRDefault="00C525C9" w:rsidP="00C525C9">
      <w:r>
        <w:t>When a health test fails, whether it is statistical or KAT and whether during the start-up test, continuous</w:t>
      </w:r>
      <w:r w:rsidR="00C70836">
        <w:t xml:space="preserve"> </w:t>
      </w:r>
      <w:r>
        <w:t>statistical checks or on-demand testing, a non-maskable alarm raises and the core zeroizes itself. The cause</w:t>
      </w:r>
      <w:r w:rsidR="00C70836">
        <w:t xml:space="preserve"> o</w:t>
      </w:r>
      <w:r>
        <w:t>f failure can be read from ALARMS register.</w:t>
      </w:r>
    </w:p>
    <w:p w14:paraId="6C7777E1" w14:textId="77777777" w:rsidR="00B86C14" w:rsidRDefault="00B86C14" w:rsidP="00C525C9"/>
    <w:p w14:paraId="76B48B0F" w14:textId="62F62754" w:rsidR="00C525C9" w:rsidRDefault="00C525C9" w:rsidP="00C525C9">
      <w:r>
        <w:t>While the start-up test is ongoing, the core is in busy state and remains unfunctional until the start-up test is</w:t>
      </w:r>
      <w:r w:rsidR="00B86C14">
        <w:t xml:space="preserve"> </w:t>
      </w:r>
      <w:r>
        <w:t>finished. If the test finishes successfully, the core is ready to be used.</w:t>
      </w:r>
    </w:p>
    <w:p w14:paraId="756F2EC2" w14:textId="4585BCB7" w:rsidR="00C70836" w:rsidRDefault="00C525C9" w:rsidP="00C525C9">
      <w:r>
        <w:t xml:space="preserve">If the start-up test fails, the </w:t>
      </w:r>
      <w:r w:rsidR="006C1FF9">
        <w:t>T</w:t>
      </w:r>
      <w:r>
        <w:t>RNG issues an alarm and zeroizes itself. However, by default, the</w:t>
      </w:r>
      <w:r>
        <w:cr/>
        <w:t>hardware comes out of the busy state and is ready to be used. It is the responsibility of the application</w:t>
      </w:r>
      <w:r w:rsidR="006C1FF9">
        <w:t xml:space="preserve"> </w:t>
      </w:r>
      <w:r>
        <w:t xml:space="preserve">software to take proper action upon failure. </w:t>
      </w:r>
      <w:r w:rsidR="009728AD">
        <w:t>T</w:t>
      </w:r>
      <w:r>
        <w:t>he software resets the core to kick-off a</w:t>
      </w:r>
      <w:r w:rsidR="009728AD">
        <w:t xml:space="preserve"> n</w:t>
      </w:r>
      <w:r>
        <w:t>ew round of start-up test</w:t>
      </w:r>
      <w:r w:rsidR="0079778E">
        <w:t xml:space="preserve"> if desired</w:t>
      </w:r>
      <w:r>
        <w:t xml:space="preserve">. </w:t>
      </w:r>
    </w:p>
    <w:p w14:paraId="6B6DCB05" w14:textId="77777777" w:rsidR="00DF2E41" w:rsidRDefault="00DF2E41" w:rsidP="00C525C9"/>
    <w:p w14:paraId="09D31D44" w14:textId="4A20365E" w:rsidR="00DF2E41" w:rsidRDefault="00DF2E41" w:rsidP="00C525C9">
      <w:r w:rsidRPr="00A67078">
        <w:t xml:space="preserve">On-demand statistical test is possible by rebooting the core. Note that resetting, rebooting, or powering up are acceptable methods for initiating an on-demand test since the procedure </w:t>
      </w:r>
      <w:r w:rsidRPr="00A67078">
        <w:lastRenderedPageBreak/>
        <w:t>results in the immediate execution of the start-up tests. Samples collected from the noise source during on demand health tests at startup time are discarded. Continuous statistical testing continues after the startup tests providing that there are no errors.</w:t>
      </w:r>
    </w:p>
    <w:p w14:paraId="1F2FA9C5" w14:textId="77777777" w:rsidR="00996FE3" w:rsidRDefault="008403F3">
      <w:pPr>
        <w:pStyle w:val="Heading1"/>
      </w:pPr>
      <w:bookmarkStart w:id="9" w:name="_Toc150937632"/>
      <w:r>
        <w:t>Maintenance</w:t>
      </w:r>
      <w:bookmarkEnd w:id="9"/>
    </w:p>
    <w:p w14:paraId="7F587253" w14:textId="22E0A53C" w:rsidR="00996FE3" w:rsidRDefault="00996FE3">
      <w:pPr>
        <w:pStyle w:val="Heading1"/>
        <w:rPr>
          <w:color w:val="auto"/>
          <w:sz w:val="24"/>
          <w:szCs w:val="24"/>
        </w:rPr>
      </w:pPr>
      <w:bookmarkStart w:id="10" w:name="_Toc150937633"/>
      <w:r w:rsidRPr="00996FE3">
        <w:rPr>
          <w:color w:val="auto"/>
          <w:sz w:val="24"/>
          <w:szCs w:val="24"/>
        </w:rPr>
        <w:t>There are no maintenance requirements.</w:t>
      </w:r>
      <w:bookmarkEnd w:id="10"/>
    </w:p>
    <w:p w14:paraId="3D1F8946" w14:textId="37DEF48C" w:rsidR="00102780" w:rsidRDefault="008403F3">
      <w:pPr>
        <w:pStyle w:val="Heading1"/>
      </w:pPr>
      <w:bookmarkStart w:id="11" w:name="_Toc150937634"/>
      <w:r>
        <w:t>Required Testing</w:t>
      </w:r>
      <w:bookmarkEnd w:id="11"/>
    </w:p>
    <w:p w14:paraId="6F77BA6E" w14:textId="3FC6FEF3" w:rsidR="009F7F14" w:rsidRDefault="0049201F" w:rsidP="00625315">
      <w:r w:rsidRPr="0049201F">
        <w:t xml:space="preserve">The </w:t>
      </w:r>
      <w:r w:rsidR="00724DEC" w:rsidRPr="00724DEC">
        <w:t>TRNG Entropy Source</w:t>
      </w:r>
      <w:r w:rsidR="00724DEC">
        <w:t xml:space="preserve"> </w:t>
      </w:r>
      <w:r w:rsidRPr="0049201F">
        <w:t xml:space="preserve">was tested by </w:t>
      </w:r>
      <w:r w:rsidR="00C95962">
        <w:t xml:space="preserve">placing the TRNG in test mode and </w:t>
      </w:r>
      <w:r w:rsidRPr="0049201F">
        <w:t xml:space="preserve">collecting raw noise data through the raw noise </w:t>
      </w:r>
      <w:r w:rsidR="006348FA">
        <w:t xml:space="preserve">data register.  </w:t>
      </w:r>
      <w:r w:rsidR="00377DE0" w:rsidRPr="00377DE0">
        <w:t>The non-IID SP800-90B tests using the most recent update of the NIST 90B test implementation were run over data collected</w:t>
      </w:r>
      <w:r w:rsidR="00C4210C">
        <w:t xml:space="preserve">.  </w:t>
      </w:r>
      <w:r w:rsidR="00D308ED">
        <w:t xml:space="preserve">The non-restart assessment was run as well as the restart assessment.  </w:t>
      </w:r>
      <w:r w:rsidR="0018061F" w:rsidRPr="0018061F">
        <w:t xml:space="preserve">Test data was collected following the requirements of </w:t>
      </w:r>
      <w:r w:rsidR="0018061F" w:rsidRPr="003B2208">
        <w:t>Section 3</w:t>
      </w:r>
      <w:r w:rsidR="0018061F" w:rsidRPr="0018061F">
        <w:t xml:space="preserve"> of SP 800-90B. All tested</w:t>
      </w:r>
      <w:r w:rsidR="0018061F">
        <w:t xml:space="preserve"> d</w:t>
      </w:r>
      <w:r w:rsidR="0018061F" w:rsidRPr="0018061F">
        <w:t xml:space="preserve">ata was evaluated at a higher entropy than the defined </w:t>
      </w:r>
      <w:r w:rsidR="00826328">
        <w:t xml:space="preserve">min </w:t>
      </w:r>
      <w:r w:rsidR="0018061F" w:rsidRPr="0018061F">
        <w:t xml:space="preserve">entropy </w:t>
      </w:r>
      <w:r w:rsidR="00282885">
        <w:t xml:space="preserve">rate, </w:t>
      </w:r>
      <w:r w:rsidR="0018061F" w:rsidRPr="0018061F">
        <w:t>all restart sanity checks</w:t>
      </w:r>
      <w:r w:rsidR="000076E2">
        <w:t xml:space="preserve"> </w:t>
      </w:r>
      <w:r w:rsidR="00812577" w:rsidRPr="0018061F">
        <w:t>passed,</w:t>
      </w:r>
      <w:r w:rsidR="00282885">
        <w:t xml:space="preserve"> and both the row and column-wise entropy </w:t>
      </w:r>
      <w:r w:rsidR="00171601">
        <w:t xml:space="preserve">were nearly identical to the non-restart entropy value. </w:t>
      </w:r>
      <w:r w:rsidR="0064065B">
        <w:t>No additional testing is required.</w:t>
      </w:r>
    </w:p>
    <w:sectPr w:rsidR="009F7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RomNo9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00553"/>
    <w:multiLevelType w:val="multilevel"/>
    <w:tmpl w:val="F3C0C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6339C3"/>
    <w:multiLevelType w:val="hybridMultilevel"/>
    <w:tmpl w:val="41329104"/>
    <w:lvl w:ilvl="0" w:tplc="9FB8C628">
      <w:start w:val="1"/>
      <w:numFmt w:val="bullet"/>
      <w:lvlText w:val="•"/>
      <w:lvlJc w:val="left"/>
      <w:pPr>
        <w:ind w:left="720" w:hanging="360"/>
      </w:pPr>
      <w:rPr>
        <w:rFonts w:ascii="Book Antiqua" w:eastAsiaTheme="minorEastAsi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83252">
    <w:abstractNumId w:val="0"/>
  </w:num>
  <w:num w:numId="2" w16cid:durableId="61564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780"/>
    <w:rsid w:val="0000188B"/>
    <w:rsid w:val="000066F5"/>
    <w:rsid w:val="000076E2"/>
    <w:rsid w:val="000119B5"/>
    <w:rsid w:val="00011AEF"/>
    <w:rsid w:val="00025FA0"/>
    <w:rsid w:val="000333A9"/>
    <w:rsid w:val="00047085"/>
    <w:rsid w:val="000513D8"/>
    <w:rsid w:val="000723DE"/>
    <w:rsid w:val="000B1006"/>
    <w:rsid w:val="000B292A"/>
    <w:rsid w:val="000D0FEA"/>
    <w:rsid w:val="000D2562"/>
    <w:rsid w:val="000E0B81"/>
    <w:rsid w:val="000F409A"/>
    <w:rsid w:val="000F4325"/>
    <w:rsid w:val="00102780"/>
    <w:rsid w:val="00135B5B"/>
    <w:rsid w:val="00143592"/>
    <w:rsid w:val="001504F4"/>
    <w:rsid w:val="00171601"/>
    <w:rsid w:val="0018061F"/>
    <w:rsid w:val="00196048"/>
    <w:rsid w:val="001A707A"/>
    <w:rsid w:val="001B47BF"/>
    <w:rsid w:val="001B7D58"/>
    <w:rsid w:val="001C4477"/>
    <w:rsid w:val="001D0CC5"/>
    <w:rsid w:val="001D5393"/>
    <w:rsid w:val="001D77D6"/>
    <w:rsid w:val="001E0A49"/>
    <w:rsid w:val="001E19AC"/>
    <w:rsid w:val="001E236E"/>
    <w:rsid w:val="001F01B5"/>
    <w:rsid w:val="001F7428"/>
    <w:rsid w:val="002033E9"/>
    <w:rsid w:val="002266E2"/>
    <w:rsid w:val="002304BA"/>
    <w:rsid w:val="002342FA"/>
    <w:rsid w:val="0023598B"/>
    <w:rsid w:val="002372BD"/>
    <w:rsid w:val="00241839"/>
    <w:rsid w:val="00241B63"/>
    <w:rsid w:val="00242407"/>
    <w:rsid w:val="002534F3"/>
    <w:rsid w:val="00264000"/>
    <w:rsid w:val="00282885"/>
    <w:rsid w:val="00286FDC"/>
    <w:rsid w:val="002B3EF8"/>
    <w:rsid w:val="002B48CA"/>
    <w:rsid w:val="002B6F90"/>
    <w:rsid w:val="002D02A2"/>
    <w:rsid w:val="002E4ED2"/>
    <w:rsid w:val="002F2119"/>
    <w:rsid w:val="002F26AC"/>
    <w:rsid w:val="00310EB2"/>
    <w:rsid w:val="00312DC3"/>
    <w:rsid w:val="00326894"/>
    <w:rsid w:val="00336978"/>
    <w:rsid w:val="00364009"/>
    <w:rsid w:val="00377DE0"/>
    <w:rsid w:val="00381640"/>
    <w:rsid w:val="003860BE"/>
    <w:rsid w:val="003B2208"/>
    <w:rsid w:val="003C0D1D"/>
    <w:rsid w:val="003D5773"/>
    <w:rsid w:val="003F7E7B"/>
    <w:rsid w:val="00403B60"/>
    <w:rsid w:val="0040467E"/>
    <w:rsid w:val="00412DFB"/>
    <w:rsid w:val="00420405"/>
    <w:rsid w:val="00454B09"/>
    <w:rsid w:val="0049201F"/>
    <w:rsid w:val="004B015D"/>
    <w:rsid w:val="004B758A"/>
    <w:rsid w:val="004C0398"/>
    <w:rsid w:val="004C2A5E"/>
    <w:rsid w:val="004D7F05"/>
    <w:rsid w:val="004E064D"/>
    <w:rsid w:val="004F5FAA"/>
    <w:rsid w:val="00500C8F"/>
    <w:rsid w:val="00504152"/>
    <w:rsid w:val="00507A58"/>
    <w:rsid w:val="00527F08"/>
    <w:rsid w:val="005352B6"/>
    <w:rsid w:val="0055481B"/>
    <w:rsid w:val="0057284B"/>
    <w:rsid w:val="00573827"/>
    <w:rsid w:val="00573F1A"/>
    <w:rsid w:val="0057704E"/>
    <w:rsid w:val="00580839"/>
    <w:rsid w:val="005A383A"/>
    <w:rsid w:val="005C30F7"/>
    <w:rsid w:val="005D7D75"/>
    <w:rsid w:val="00600BD9"/>
    <w:rsid w:val="006018A6"/>
    <w:rsid w:val="00607EAC"/>
    <w:rsid w:val="006123ED"/>
    <w:rsid w:val="00612839"/>
    <w:rsid w:val="00625315"/>
    <w:rsid w:val="00633B41"/>
    <w:rsid w:val="006348FA"/>
    <w:rsid w:val="0064065B"/>
    <w:rsid w:val="00662AE2"/>
    <w:rsid w:val="006815F9"/>
    <w:rsid w:val="00690726"/>
    <w:rsid w:val="0069249D"/>
    <w:rsid w:val="006A26C0"/>
    <w:rsid w:val="006A7FE2"/>
    <w:rsid w:val="006C1FF9"/>
    <w:rsid w:val="006C7A69"/>
    <w:rsid w:val="006D123B"/>
    <w:rsid w:val="006E4A72"/>
    <w:rsid w:val="006E5A54"/>
    <w:rsid w:val="006F2024"/>
    <w:rsid w:val="00711D0A"/>
    <w:rsid w:val="00724DEC"/>
    <w:rsid w:val="007447F3"/>
    <w:rsid w:val="007466DD"/>
    <w:rsid w:val="00775AC8"/>
    <w:rsid w:val="007904FD"/>
    <w:rsid w:val="0079778E"/>
    <w:rsid w:val="007A022C"/>
    <w:rsid w:val="007A7870"/>
    <w:rsid w:val="007C56E6"/>
    <w:rsid w:val="007C57A8"/>
    <w:rsid w:val="007D1508"/>
    <w:rsid w:val="007D21E6"/>
    <w:rsid w:val="007E31B6"/>
    <w:rsid w:val="00805DBE"/>
    <w:rsid w:val="00812577"/>
    <w:rsid w:val="00816B0D"/>
    <w:rsid w:val="00820130"/>
    <w:rsid w:val="00826328"/>
    <w:rsid w:val="008329B9"/>
    <w:rsid w:val="00834690"/>
    <w:rsid w:val="008403F3"/>
    <w:rsid w:val="008440DA"/>
    <w:rsid w:val="00864F20"/>
    <w:rsid w:val="008714EF"/>
    <w:rsid w:val="00873580"/>
    <w:rsid w:val="00875150"/>
    <w:rsid w:val="0089035A"/>
    <w:rsid w:val="00890C6B"/>
    <w:rsid w:val="00894135"/>
    <w:rsid w:val="008B6B8B"/>
    <w:rsid w:val="008C3DA3"/>
    <w:rsid w:val="008D5481"/>
    <w:rsid w:val="008D5BC2"/>
    <w:rsid w:val="008D65AC"/>
    <w:rsid w:val="008E2610"/>
    <w:rsid w:val="008F6AB1"/>
    <w:rsid w:val="008F7CE4"/>
    <w:rsid w:val="00902536"/>
    <w:rsid w:val="009154A5"/>
    <w:rsid w:val="00944072"/>
    <w:rsid w:val="009616C4"/>
    <w:rsid w:val="0096366E"/>
    <w:rsid w:val="00967AB0"/>
    <w:rsid w:val="009728AD"/>
    <w:rsid w:val="00974D94"/>
    <w:rsid w:val="009921DE"/>
    <w:rsid w:val="00996FE3"/>
    <w:rsid w:val="009E6506"/>
    <w:rsid w:val="009F7F14"/>
    <w:rsid w:val="00A0758C"/>
    <w:rsid w:val="00A61679"/>
    <w:rsid w:val="00A653A8"/>
    <w:rsid w:val="00A67078"/>
    <w:rsid w:val="00A75677"/>
    <w:rsid w:val="00A807C1"/>
    <w:rsid w:val="00A855EF"/>
    <w:rsid w:val="00A86FF1"/>
    <w:rsid w:val="00A90FC7"/>
    <w:rsid w:val="00AA4B4E"/>
    <w:rsid w:val="00AB697B"/>
    <w:rsid w:val="00AC493E"/>
    <w:rsid w:val="00AD2B27"/>
    <w:rsid w:val="00AE4DAD"/>
    <w:rsid w:val="00B11C0A"/>
    <w:rsid w:val="00B259A2"/>
    <w:rsid w:val="00B3459A"/>
    <w:rsid w:val="00B6514D"/>
    <w:rsid w:val="00B73AB3"/>
    <w:rsid w:val="00B86C14"/>
    <w:rsid w:val="00B870F1"/>
    <w:rsid w:val="00B9399D"/>
    <w:rsid w:val="00BA0ED0"/>
    <w:rsid w:val="00BB63C3"/>
    <w:rsid w:val="00BE62B3"/>
    <w:rsid w:val="00BE697B"/>
    <w:rsid w:val="00C24A90"/>
    <w:rsid w:val="00C26E38"/>
    <w:rsid w:val="00C37145"/>
    <w:rsid w:val="00C4210C"/>
    <w:rsid w:val="00C525C9"/>
    <w:rsid w:val="00C547D5"/>
    <w:rsid w:val="00C56558"/>
    <w:rsid w:val="00C62A04"/>
    <w:rsid w:val="00C70836"/>
    <w:rsid w:val="00C87165"/>
    <w:rsid w:val="00C8752E"/>
    <w:rsid w:val="00C95962"/>
    <w:rsid w:val="00CA5D0E"/>
    <w:rsid w:val="00CC4A71"/>
    <w:rsid w:val="00CF41D6"/>
    <w:rsid w:val="00CF4CFF"/>
    <w:rsid w:val="00CF6DD1"/>
    <w:rsid w:val="00D12455"/>
    <w:rsid w:val="00D308ED"/>
    <w:rsid w:val="00D34D19"/>
    <w:rsid w:val="00D3663A"/>
    <w:rsid w:val="00D46A05"/>
    <w:rsid w:val="00D7609D"/>
    <w:rsid w:val="00D801E5"/>
    <w:rsid w:val="00DC6B94"/>
    <w:rsid w:val="00DC79EF"/>
    <w:rsid w:val="00DD7028"/>
    <w:rsid w:val="00DE2C1D"/>
    <w:rsid w:val="00DF2E41"/>
    <w:rsid w:val="00DF64B3"/>
    <w:rsid w:val="00DF7DA7"/>
    <w:rsid w:val="00E3713F"/>
    <w:rsid w:val="00E76CD4"/>
    <w:rsid w:val="00E84EDD"/>
    <w:rsid w:val="00E85F77"/>
    <w:rsid w:val="00E91EAE"/>
    <w:rsid w:val="00EA3DB2"/>
    <w:rsid w:val="00EC7CC6"/>
    <w:rsid w:val="00ED419B"/>
    <w:rsid w:val="00ED5984"/>
    <w:rsid w:val="00ED7ED3"/>
    <w:rsid w:val="00F03E38"/>
    <w:rsid w:val="00F16849"/>
    <w:rsid w:val="00F328B1"/>
    <w:rsid w:val="00F43961"/>
    <w:rsid w:val="00F722AF"/>
    <w:rsid w:val="00F906F7"/>
    <w:rsid w:val="00F9750D"/>
    <w:rsid w:val="00FD10F1"/>
    <w:rsid w:val="00FD42BF"/>
    <w:rsid w:val="00FE46FF"/>
    <w:rsid w:val="00FE6DB6"/>
    <w:rsid w:val="00FF79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55BD"/>
  <w15:docId w15:val="{B5CB9C9F-9724-489F-A152-D1CCDD23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C8752E"/>
    <w:rPr>
      <w:sz w:val="16"/>
      <w:szCs w:val="16"/>
    </w:rPr>
  </w:style>
  <w:style w:type="paragraph" w:styleId="CommentText">
    <w:name w:val="annotation text"/>
    <w:basedOn w:val="Normal"/>
    <w:link w:val="CommentTextChar"/>
    <w:uiPriority w:val="99"/>
    <w:unhideWhenUsed/>
    <w:rsid w:val="00C8752E"/>
    <w:rPr>
      <w:sz w:val="20"/>
      <w:szCs w:val="20"/>
    </w:rPr>
  </w:style>
  <w:style w:type="character" w:customStyle="1" w:styleId="CommentTextChar">
    <w:name w:val="Comment Text Char"/>
    <w:basedOn w:val="DefaultParagraphFont"/>
    <w:link w:val="CommentText"/>
    <w:uiPriority w:val="99"/>
    <w:rsid w:val="00C8752E"/>
    <w:rPr>
      <w:sz w:val="20"/>
      <w:szCs w:val="20"/>
    </w:rPr>
  </w:style>
  <w:style w:type="paragraph" w:styleId="CommentSubject">
    <w:name w:val="annotation subject"/>
    <w:basedOn w:val="CommentText"/>
    <w:next w:val="CommentText"/>
    <w:link w:val="CommentSubjectChar"/>
    <w:uiPriority w:val="99"/>
    <w:semiHidden/>
    <w:unhideWhenUsed/>
    <w:rsid w:val="00C8752E"/>
    <w:rPr>
      <w:b/>
      <w:bCs/>
    </w:rPr>
  </w:style>
  <w:style w:type="character" w:customStyle="1" w:styleId="CommentSubjectChar">
    <w:name w:val="Comment Subject Char"/>
    <w:basedOn w:val="CommentTextChar"/>
    <w:link w:val="CommentSubject"/>
    <w:uiPriority w:val="99"/>
    <w:semiHidden/>
    <w:rsid w:val="00C8752E"/>
    <w:rPr>
      <w:b/>
      <w:bCs/>
      <w:sz w:val="20"/>
      <w:szCs w:val="20"/>
    </w:rPr>
  </w:style>
  <w:style w:type="table" w:styleId="TableGrid">
    <w:name w:val="Table Grid"/>
    <w:basedOn w:val="TableNormal"/>
    <w:uiPriority w:val="59"/>
    <w:rsid w:val="006E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autoRedefine/>
    <w:qFormat/>
    <w:rsid w:val="00A90FC7"/>
    <w:pPr>
      <w:suppressAutoHyphens/>
      <w:autoSpaceDE w:val="0"/>
      <w:autoSpaceDN w:val="0"/>
      <w:adjustRightInd w:val="0"/>
      <w:spacing w:before="100" w:after="100" w:line="260" w:lineRule="atLeast"/>
    </w:pPr>
    <w:rPr>
      <w:rFonts w:ascii="NimbusRomNo9L-Regu" w:eastAsiaTheme="minorHAnsi" w:hAnsi="NimbusRomNo9L-Regu" w:cstheme="minorBidi"/>
      <w:color w:val="000000"/>
      <w:lang w:eastAsia="en-US"/>
    </w:rPr>
  </w:style>
  <w:style w:type="character" w:customStyle="1" w:styleId="BodyChar">
    <w:name w:val="Body Char"/>
    <w:basedOn w:val="DefaultParagraphFont"/>
    <w:link w:val="Body"/>
    <w:rsid w:val="00A90FC7"/>
    <w:rPr>
      <w:rFonts w:ascii="NimbusRomNo9L-Regu" w:eastAsiaTheme="minorHAnsi" w:hAnsi="NimbusRomNo9L-Regu" w:cstheme="minorBidi"/>
      <w:color w:val="000000"/>
      <w:lang w:eastAsia="en-US"/>
    </w:rPr>
  </w:style>
  <w:style w:type="paragraph" w:styleId="TOC1">
    <w:name w:val="toc 1"/>
    <w:basedOn w:val="Normal"/>
    <w:next w:val="Normal"/>
    <w:autoRedefine/>
    <w:uiPriority w:val="39"/>
    <w:unhideWhenUsed/>
    <w:rsid w:val="00412DFB"/>
    <w:pPr>
      <w:spacing w:after="100"/>
    </w:pPr>
  </w:style>
  <w:style w:type="character" w:styleId="Hyperlink">
    <w:name w:val="Hyperlink"/>
    <w:basedOn w:val="DefaultParagraphFont"/>
    <w:uiPriority w:val="99"/>
    <w:unhideWhenUsed/>
    <w:rsid w:val="00412DFB"/>
    <w:rPr>
      <w:color w:val="0000FF" w:themeColor="hyperlink"/>
      <w:u w:val="single"/>
    </w:rPr>
  </w:style>
  <w:style w:type="paragraph" w:styleId="Revision">
    <w:name w:val="Revision"/>
    <w:hidden/>
    <w:uiPriority w:val="99"/>
    <w:semiHidden/>
    <w:rsid w:val="00C5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029">
      <w:bodyDiv w:val="1"/>
      <w:marLeft w:val="0"/>
      <w:marRight w:val="0"/>
      <w:marTop w:val="0"/>
      <w:marBottom w:val="0"/>
      <w:divBdr>
        <w:top w:val="none" w:sz="0" w:space="0" w:color="auto"/>
        <w:left w:val="none" w:sz="0" w:space="0" w:color="auto"/>
        <w:bottom w:val="none" w:sz="0" w:space="0" w:color="auto"/>
        <w:right w:val="none" w:sz="0" w:space="0" w:color="auto"/>
      </w:divBdr>
    </w:div>
    <w:div w:id="49619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9410587-2dbf-4cbf-9a99-5d54386da03f}"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Normal</Template>
  <TotalTime>13</TotalTime>
  <Pages>8</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 Varalikar</dc:creator>
  <cp:lastModifiedBy>Umayr Kaleem</cp:lastModifiedBy>
  <cp:revision>19</cp:revision>
  <dcterms:created xsi:type="dcterms:W3CDTF">2024-03-29T07:45:00Z</dcterms:created>
  <dcterms:modified xsi:type="dcterms:W3CDTF">2024-03-29T17:23:00Z</dcterms:modified>
</cp:coreProperties>
</file>