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E58FA" w14:textId="77777777" w:rsidR="00975DF9" w:rsidRDefault="00975DF9">
      <w:pPr>
        <w:jc w:val="center"/>
        <w:rPr>
          <w:sz w:val="40"/>
          <w:szCs w:val="40"/>
        </w:rPr>
      </w:pPr>
    </w:p>
    <w:p w14:paraId="191862BD" w14:textId="77777777" w:rsidR="00975DF9" w:rsidRDefault="00975DF9">
      <w:pPr>
        <w:jc w:val="center"/>
        <w:rPr>
          <w:sz w:val="40"/>
          <w:szCs w:val="40"/>
        </w:rPr>
      </w:pPr>
    </w:p>
    <w:p w14:paraId="5790A023" w14:textId="77777777" w:rsidR="00975DF9" w:rsidRDefault="00975DF9">
      <w:pPr>
        <w:jc w:val="center"/>
        <w:rPr>
          <w:sz w:val="40"/>
          <w:szCs w:val="40"/>
        </w:rPr>
      </w:pPr>
    </w:p>
    <w:p w14:paraId="625C3063" w14:textId="77777777" w:rsidR="00975DF9" w:rsidRDefault="00975DF9">
      <w:pPr>
        <w:jc w:val="center"/>
        <w:rPr>
          <w:sz w:val="40"/>
          <w:szCs w:val="40"/>
        </w:rPr>
      </w:pPr>
    </w:p>
    <w:p w14:paraId="05B91F5C" w14:textId="77777777" w:rsidR="00975DF9" w:rsidRDefault="00975DF9">
      <w:pPr>
        <w:jc w:val="center"/>
        <w:rPr>
          <w:sz w:val="40"/>
          <w:szCs w:val="40"/>
        </w:rPr>
      </w:pPr>
    </w:p>
    <w:p w14:paraId="29F4B449" w14:textId="77777777" w:rsidR="00975DF9" w:rsidRDefault="00D73C71">
      <w:pPr>
        <w:jc w:val="center"/>
        <w:rPr>
          <w:sz w:val="40"/>
          <w:szCs w:val="40"/>
        </w:rPr>
      </w:pPr>
      <w:r>
        <w:rPr>
          <w:sz w:val="40"/>
          <w:szCs w:val="40"/>
        </w:rPr>
        <w:t>SP 800-90B Non-Proprietary Public Use Document</w:t>
      </w:r>
    </w:p>
    <w:p w14:paraId="2BB52046" w14:textId="43C9CEA4" w:rsidR="00975DF9" w:rsidRDefault="00751271">
      <w:pPr>
        <w:jc w:val="center"/>
        <w:rPr>
          <w:sz w:val="40"/>
          <w:szCs w:val="40"/>
        </w:rPr>
      </w:pPr>
      <w:r>
        <w:rPr>
          <w:sz w:val="40"/>
          <w:szCs w:val="40"/>
        </w:rPr>
        <w:t>Trusted Platform Module 2.0 SLB 9672 Entropy Source</w:t>
      </w:r>
    </w:p>
    <w:p w14:paraId="5EA3E968" w14:textId="7D610F83" w:rsidR="00975DF9" w:rsidRDefault="00D73C71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Document Version </w:t>
      </w:r>
      <w:r w:rsidR="0018748A">
        <w:rPr>
          <w:sz w:val="40"/>
          <w:szCs w:val="40"/>
        </w:rPr>
        <w:t>0</w:t>
      </w:r>
      <w:r w:rsidR="00751271">
        <w:rPr>
          <w:sz w:val="40"/>
          <w:szCs w:val="40"/>
        </w:rPr>
        <w:t>.</w:t>
      </w:r>
      <w:r w:rsidR="00D93164">
        <w:rPr>
          <w:sz w:val="40"/>
          <w:szCs w:val="40"/>
        </w:rPr>
        <w:t>4</w:t>
      </w:r>
    </w:p>
    <w:p w14:paraId="7A252768" w14:textId="77777777" w:rsidR="00751271" w:rsidRDefault="00751271">
      <w:pPr>
        <w:jc w:val="center"/>
        <w:rPr>
          <w:sz w:val="40"/>
          <w:szCs w:val="40"/>
        </w:rPr>
      </w:pPr>
    </w:p>
    <w:p w14:paraId="5CEAE14D" w14:textId="58678875" w:rsidR="00753E92" w:rsidRDefault="00D73C71">
      <w:pPr>
        <w:jc w:val="center"/>
        <w:rPr>
          <w:sz w:val="40"/>
          <w:szCs w:val="40"/>
        </w:rPr>
      </w:pPr>
      <w:r w:rsidRPr="00753E92">
        <w:rPr>
          <w:sz w:val="40"/>
          <w:szCs w:val="40"/>
        </w:rPr>
        <w:t>Hardware</w:t>
      </w:r>
      <w:r w:rsidR="00753E92" w:rsidRPr="00753E92">
        <w:rPr>
          <w:sz w:val="40"/>
          <w:szCs w:val="40"/>
        </w:rPr>
        <w:t xml:space="preserve"> Version</w:t>
      </w:r>
      <w:r w:rsidR="00753E92">
        <w:rPr>
          <w:sz w:val="40"/>
          <w:szCs w:val="40"/>
        </w:rPr>
        <w:t>s</w:t>
      </w:r>
      <w:r w:rsidR="00753E92" w:rsidRPr="00753E92">
        <w:rPr>
          <w:sz w:val="40"/>
          <w:szCs w:val="40"/>
        </w:rPr>
        <w:t xml:space="preserve">: </w:t>
      </w:r>
    </w:p>
    <w:p w14:paraId="509FF670" w14:textId="77777777" w:rsidR="00753E92" w:rsidRDefault="00753E92">
      <w:pPr>
        <w:jc w:val="center"/>
        <w:rPr>
          <w:rFonts w:ascii="Source Sans Pro" w:hAnsi="Source Sans Pro"/>
          <w:color w:val="333333"/>
          <w:shd w:val="clear" w:color="auto" w:fill="FFFFFF"/>
        </w:rPr>
      </w:pPr>
      <w:r>
        <w:rPr>
          <w:rFonts w:ascii="Source Sans Pro" w:hAnsi="Source Sans Pro"/>
          <w:color w:val="333333"/>
          <w:shd w:val="clear" w:color="auto" w:fill="FFFFFF"/>
        </w:rPr>
        <w:t xml:space="preserve">SLB 9672VU20 (Package PG-UQFN-32-1 or PG-UQFN-32-2), </w:t>
      </w:r>
    </w:p>
    <w:p w14:paraId="22B2CB7B" w14:textId="39D2374A" w:rsidR="00753E92" w:rsidRPr="00753E92" w:rsidRDefault="00753E92">
      <w:pPr>
        <w:jc w:val="center"/>
        <w:rPr>
          <w:sz w:val="40"/>
          <w:szCs w:val="40"/>
        </w:rPr>
      </w:pPr>
      <w:r>
        <w:rPr>
          <w:rFonts w:ascii="Source Sans Pro" w:hAnsi="Source Sans Pro"/>
          <w:color w:val="333333"/>
          <w:shd w:val="clear" w:color="auto" w:fill="FFFFFF"/>
        </w:rPr>
        <w:t>SLB 9672XU20 (Package PG-UQFN-32-1 or PG-UQFN-32-2)</w:t>
      </w:r>
    </w:p>
    <w:p w14:paraId="49C85C7E" w14:textId="77777777" w:rsidR="00753E92" w:rsidRDefault="00D73C71">
      <w:pPr>
        <w:jc w:val="center"/>
        <w:rPr>
          <w:sz w:val="40"/>
          <w:szCs w:val="40"/>
        </w:rPr>
      </w:pPr>
      <w:r w:rsidRPr="00753E92">
        <w:rPr>
          <w:sz w:val="40"/>
          <w:szCs w:val="40"/>
        </w:rPr>
        <w:t>Firmware Versions</w:t>
      </w:r>
      <w:r w:rsidR="00753E92" w:rsidRPr="00753E92">
        <w:rPr>
          <w:sz w:val="40"/>
          <w:szCs w:val="40"/>
        </w:rPr>
        <w:t>:</w:t>
      </w:r>
    </w:p>
    <w:p w14:paraId="3E4F4AA5" w14:textId="77777777" w:rsidR="00753E92" w:rsidRDefault="00753E92">
      <w:pPr>
        <w:jc w:val="center"/>
        <w:rPr>
          <w:rFonts w:ascii="Source Sans Pro" w:hAnsi="Source Sans Pro"/>
          <w:color w:val="333333"/>
          <w:shd w:val="clear" w:color="auto" w:fill="FFFFFF"/>
        </w:rPr>
      </w:pPr>
      <w:r>
        <w:rPr>
          <w:rFonts w:ascii="Source Sans Pro" w:hAnsi="Source Sans Pro"/>
          <w:color w:val="333333"/>
          <w:shd w:val="clear" w:color="auto" w:fill="FFFFFF"/>
        </w:rPr>
        <w:t xml:space="preserve">15.20.15686, </w:t>
      </w:r>
    </w:p>
    <w:p w14:paraId="2237F966" w14:textId="77777777" w:rsidR="00753E92" w:rsidRDefault="00753E92">
      <w:pPr>
        <w:jc w:val="center"/>
        <w:rPr>
          <w:rFonts w:ascii="Source Sans Pro" w:hAnsi="Source Sans Pro"/>
          <w:color w:val="333333"/>
          <w:shd w:val="clear" w:color="auto" w:fill="FFFFFF"/>
        </w:rPr>
      </w:pPr>
      <w:r>
        <w:rPr>
          <w:rFonts w:ascii="Source Sans Pro" w:hAnsi="Source Sans Pro"/>
          <w:color w:val="333333"/>
          <w:shd w:val="clear" w:color="auto" w:fill="FFFFFF"/>
        </w:rPr>
        <w:t>15.21.16430,</w:t>
      </w:r>
    </w:p>
    <w:p w14:paraId="513E1BAA" w14:textId="5D4E5C4E" w:rsidR="00975DF9" w:rsidRPr="00753E92" w:rsidRDefault="00753E92">
      <w:pPr>
        <w:jc w:val="center"/>
        <w:rPr>
          <w:sz w:val="40"/>
          <w:szCs w:val="40"/>
        </w:rPr>
      </w:pPr>
      <w:r>
        <w:rPr>
          <w:rFonts w:ascii="Source Sans Pro" w:hAnsi="Source Sans Pro"/>
          <w:color w:val="333333"/>
          <w:shd w:val="clear" w:color="auto" w:fill="FFFFFF"/>
        </w:rPr>
        <w:t>15.22.16832</w:t>
      </w:r>
      <w:r w:rsidRPr="00753E92">
        <w:rPr>
          <w:sz w:val="40"/>
          <w:szCs w:val="40"/>
        </w:rPr>
        <w:t xml:space="preserve"> </w:t>
      </w:r>
    </w:p>
    <w:p w14:paraId="56B81D47" w14:textId="77777777" w:rsidR="00975DF9" w:rsidRPr="00753E92" w:rsidRDefault="00975DF9">
      <w:pPr>
        <w:jc w:val="center"/>
        <w:rPr>
          <w:sz w:val="40"/>
          <w:szCs w:val="40"/>
        </w:rPr>
      </w:pPr>
    </w:p>
    <w:p w14:paraId="7048026F" w14:textId="1963804C" w:rsidR="00975DF9" w:rsidRPr="00E46D6A" w:rsidRDefault="00751271">
      <w:pPr>
        <w:jc w:val="center"/>
        <w:rPr>
          <w:sz w:val="40"/>
          <w:szCs w:val="40"/>
        </w:rPr>
      </w:pPr>
      <w:r w:rsidRPr="00E46D6A">
        <w:rPr>
          <w:sz w:val="40"/>
          <w:szCs w:val="40"/>
        </w:rPr>
        <w:t xml:space="preserve">Infineon </w:t>
      </w:r>
      <w:r w:rsidR="00753E92" w:rsidRPr="00E46D6A">
        <w:rPr>
          <w:sz w:val="40"/>
          <w:szCs w:val="40"/>
        </w:rPr>
        <w:t xml:space="preserve">Technologies </w:t>
      </w:r>
      <w:r w:rsidRPr="00E46D6A">
        <w:rPr>
          <w:sz w:val="40"/>
          <w:szCs w:val="40"/>
        </w:rPr>
        <w:t>AG</w:t>
      </w:r>
    </w:p>
    <w:p w14:paraId="44EE8A11" w14:textId="194F40D6" w:rsidR="00751271" w:rsidRPr="00E46D6A" w:rsidRDefault="00751271">
      <w:pPr>
        <w:jc w:val="center"/>
        <w:rPr>
          <w:sz w:val="40"/>
          <w:szCs w:val="40"/>
        </w:rPr>
      </w:pPr>
      <w:r w:rsidRPr="00E46D6A">
        <w:rPr>
          <w:sz w:val="40"/>
          <w:szCs w:val="40"/>
        </w:rPr>
        <w:t>Am Campeon 1-15</w:t>
      </w:r>
    </w:p>
    <w:p w14:paraId="107720DF" w14:textId="15D65ED9" w:rsidR="00751271" w:rsidRPr="00E46D6A" w:rsidRDefault="00751271">
      <w:pPr>
        <w:jc w:val="center"/>
        <w:rPr>
          <w:sz w:val="40"/>
          <w:szCs w:val="40"/>
        </w:rPr>
      </w:pPr>
      <w:r w:rsidRPr="00E46D6A">
        <w:rPr>
          <w:sz w:val="40"/>
          <w:szCs w:val="40"/>
        </w:rPr>
        <w:t>Neubiberg</w:t>
      </w:r>
      <w:r w:rsidR="00753E92" w:rsidRPr="00E46D6A">
        <w:rPr>
          <w:sz w:val="40"/>
          <w:szCs w:val="40"/>
        </w:rPr>
        <w:t>, BY 85579, Germany</w:t>
      </w:r>
    </w:p>
    <w:p w14:paraId="15924DC5" w14:textId="662B85A4" w:rsidR="00975DF9" w:rsidRDefault="0018748A">
      <w:pPr>
        <w:jc w:val="center"/>
        <w:rPr>
          <w:sz w:val="40"/>
          <w:szCs w:val="40"/>
        </w:rPr>
      </w:pPr>
      <w:r>
        <w:rPr>
          <w:sz w:val="40"/>
          <w:szCs w:val="40"/>
        </w:rPr>
        <w:t>December</w:t>
      </w:r>
      <w:r w:rsidR="00751271">
        <w:rPr>
          <w:sz w:val="40"/>
          <w:szCs w:val="40"/>
        </w:rPr>
        <w:t xml:space="preserve"> </w:t>
      </w:r>
      <w:r>
        <w:rPr>
          <w:sz w:val="40"/>
          <w:szCs w:val="40"/>
        </w:rPr>
        <w:t>2</w:t>
      </w:r>
      <w:r w:rsidR="000F58E6">
        <w:rPr>
          <w:sz w:val="40"/>
          <w:szCs w:val="40"/>
        </w:rPr>
        <w:t>3</w:t>
      </w:r>
      <w:r w:rsidR="00751271">
        <w:rPr>
          <w:sz w:val="40"/>
          <w:szCs w:val="40"/>
        </w:rPr>
        <w:t>, 2022</w:t>
      </w:r>
    </w:p>
    <w:p w14:paraId="28BE3258" w14:textId="77777777" w:rsidR="00975DF9" w:rsidRDefault="00975DF9">
      <w:pPr>
        <w:jc w:val="center"/>
        <w:rPr>
          <w:sz w:val="20"/>
          <w:szCs w:val="20"/>
        </w:rPr>
      </w:pPr>
    </w:p>
    <w:p w14:paraId="239E2127" w14:textId="77777777" w:rsidR="00975DF9" w:rsidRDefault="00D73C71">
      <w:pPr>
        <w:spacing w:after="160" w:line="259" w:lineRule="auto"/>
        <w:rPr>
          <w:sz w:val="20"/>
          <w:szCs w:val="20"/>
        </w:rPr>
      </w:pPr>
      <w:r>
        <w:br w:type="page"/>
      </w:r>
    </w:p>
    <w:p w14:paraId="046A9E14" w14:textId="77777777" w:rsidR="00975DF9" w:rsidRDefault="00D73C71">
      <w:pPr>
        <w:spacing w:after="160" w:line="259" w:lineRule="auto"/>
        <w:rPr>
          <w:b/>
        </w:rPr>
      </w:pPr>
      <w:r>
        <w:rPr>
          <w:b/>
        </w:rPr>
        <w:lastRenderedPageBreak/>
        <w:t>Revision History</w:t>
      </w:r>
    </w:p>
    <w:tbl>
      <w:tblPr>
        <w:tblStyle w:val="a"/>
        <w:tblW w:w="9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5"/>
        <w:gridCol w:w="6840"/>
      </w:tblGrid>
      <w:tr w:rsidR="00975DF9" w14:paraId="324368D1" w14:textId="77777777">
        <w:tc>
          <w:tcPr>
            <w:tcW w:w="2605" w:type="dxa"/>
            <w:shd w:val="clear" w:color="auto" w:fill="B4C6E7"/>
          </w:tcPr>
          <w:p w14:paraId="093F0EA1" w14:textId="77777777" w:rsidR="00975DF9" w:rsidRDefault="00D73C71">
            <w:pPr>
              <w:spacing w:after="160" w:line="259" w:lineRule="auto"/>
              <w:jc w:val="center"/>
            </w:pPr>
            <w:r>
              <w:t>Version</w:t>
            </w:r>
          </w:p>
        </w:tc>
        <w:tc>
          <w:tcPr>
            <w:tcW w:w="6840" w:type="dxa"/>
            <w:shd w:val="clear" w:color="auto" w:fill="B4C6E7"/>
          </w:tcPr>
          <w:p w14:paraId="5320F427" w14:textId="77777777" w:rsidR="00975DF9" w:rsidRDefault="00D73C71">
            <w:pPr>
              <w:spacing w:after="160" w:line="259" w:lineRule="auto"/>
              <w:jc w:val="center"/>
            </w:pPr>
            <w:r>
              <w:t>Change</w:t>
            </w:r>
          </w:p>
        </w:tc>
      </w:tr>
      <w:tr w:rsidR="00975DF9" w14:paraId="24281C89" w14:textId="77777777">
        <w:tc>
          <w:tcPr>
            <w:tcW w:w="2605" w:type="dxa"/>
          </w:tcPr>
          <w:p w14:paraId="5F18DBF0" w14:textId="3EF658A8" w:rsidR="00975DF9" w:rsidRDefault="00751271">
            <w:pPr>
              <w:spacing w:after="160" w:line="259" w:lineRule="auto"/>
            </w:pPr>
            <w:r>
              <w:t>0.1</w:t>
            </w:r>
          </w:p>
        </w:tc>
        <w:tc>
          <w:tcPr>
            <w:tcW w:w="6840" w:type="dxa"/>
          </w:tcPr>
          <w:p w14:paraId="57BA6100" w14:textId="0F89B9F6" w:rsidR="00975DF9" w:rsidRDefault="00751271">
            <w:pPr>
              <w:spacing w:after="160" w:line="259" w:lineRule="auto"/>
            </w:pPr>
            <w:r>
              <w:t>Initial draft</w:t>
            </w:r>
          </w:p>
        </w:tc>
      </w:tr>
      <w:tr w:rsidR="00975DF9" w14:paraId="3EAA7536" w14:textId="77777777">
        <w:tc>
          <w:tcPr>
            <w:tcW w:w="2605" w:type="dxa"/>
          </w:tcPr>
          <w:p w14:paraId="31DB7DF3" w14:textId="74000A7B" w:rsidR="00975DF9" w:rsidRDefault="0018748A">
            <w:pPr>
              <w:spacing w:after="160" w:line="259" w:lineRule="auto"/>
            </w:pPr>
            <w:r>
              <w:t>0.2</w:t>
            </w:r>
          </w:p>
        </w:tc>
        <w:tc>
          <w:tcPr>
            <w:tcW w:w="6840" w:type="dxa"/>
          </w:tcPr>
          <w:p w14:paraId="4C7BA65F" w14:textId="34E865E7" w:rsidR="0018748A" w:rsidRDefault="0018748A">
            <w:pPr>
              <w:spacing w:after="160" w:line="259" w:lineRule="auto"/>
            </w:pPr>
            <w:r>
              <w:t>Included review comments</w:t>
            </w:r>
          </w:p>
        </w:tc>
      </w:tr>
      <w:tr w:rsidR="0018748A" w14:paraId="584FB07C" w14:textId="77777777">
        <w:tc>
          <w:tcPr>
            <w:tcW w:w="2605" w:type="dxa"/>
          </w:tcPr>
          <w:p w14:paraId="395EEBF7" w14:textId="73A01C7A" w:rsidR="0018748A" w:rsidRDefault="0018748A">
            <w:pPr>
              <w:spacing w:after="160" w:line="259" w:lineRule="auto"/>
            </w:pPr>
            <w:r>
              <w:t>0.3</w:t>
            </w:r>
          </w:p>
        </w:tc>
        <w:tc>
          <w:tcPr>
            <w:tcW w:w="6840" w:type="dxa"/>
          </w:tcPr>
          <w:p w14:paraId="098F44D1" w14:textId="35DCCD00" w:rsidR="0018748A" w:rsidRDefault="0018748A">
            <w:pPr>
              <w:spacing w:after="160" w:line="259" w:lineRule="auto"/>
            </w:pPr>
            <w:r>
              <w:t>Added health test conditions</w:t>
            </w:r>
          </w:p>
        </w:tc>
      </w:tr>
      <w:tr w:rsidR="00E46D6A" w14:paraId="6EC8511E" w14:textId="77777777">
        <w:tc>
          <w:tcPr>
            <w:tcW w:w="2605" w:type="dxa"/>
          </w:tcPr>
          <w:p w14:paraId="595D1FB4" w14:textId="40460E8B" w:rsidR="00E46D6A" w:rsidRDefault="00E46D6A">
            <w:pPr>
              <w:spacing w:after="160" w:line="259" w:lineRule="auto"/>
            </w:pPr>
            <w:r>
              <w:t>0.4</w:t>
            </w:r>
          </w:p>
        </w:tc>
        <w:tc>
          <w:tcPr>
            <w:tcW w:w="6840" w:type="dxa"/>
          </w:tcPr>
          <w:p w14:paraId="649622F7" w14:textId="7A85F68A" w:rsidR="00E46D6A" w:rsidRDefault="00E46D6A">
            <w:pPr>
              <w:spacing w:after="160" w:line="259" w:lineRule="auto"/>
            </w:pPr>
            <w:r>
              <w:t>Added information on testing</w:t>
            </w:r>
          </w:p>
        </w:tc>
      </w:tr>
      <w:tr w:rsidR="0018748A" w14:paraId="146A5B8E" w14:textId="77777777">
        <w:tc>
          <w:tcPr>
            <w:tcW w:w="2605" w:type="dxa"/>
          </w:tcPr>
          <w:p w14:paraId="43753483" w14:textId="77777777" w:rsidR="0018748A" w:rsidRDefault="0018748A">
            <w:pPr>
              <w:spacing w:after="160" w:line="259" w:lineRule="auto"/>
            </w:pPr>
          </w:p>
        </w:tc>
        <w:tc>
          <w:tcPr>
            <w:tcW w:w="6840" w:type="dxa"/>
          </w:tcPr>
          <w:p w14:paraId="026C6BA5" w14:textId="77777777" w:rsidR="0018748A" w:rsidRDefault="0018748A">
            <w:pPr>
              <w:spacing w:after="160" w:line="259" w:lineRule="auto"/>
            </w:pPr>
          </w:p>
        </w:tc>
      </w:tr>
    </w:tbl>
    <w:p w14:paraId="2C5F6545" w14:textId="77777777" w:rsidR="00975DF9" w:rsidRDefault="00D73C71">
      <w:pPr>
        <w:spacing w:after="160" w:line="259" w:lineRule="auto"/>
        <w:rPr>
          <w:color w:val="2F5496"/>
          <w:sz w:val="32"/>
          <w:szCs w:val="32"/>
        </w:rPr>
      </w:pPr>
      <w:r>
        <w:br w:type="page"/>
      </w:r>
    </w:p>
    <w:p w14:paraId="62BCDAEF" w14:textId="77777777" w:rsidR="00975DF9" w:rsidRDefault="00975DF9">
      <w:pPr>
        <w:spacing w:after="160" w:line="259" w:lineRule="auto"/>
        <w:rPr>
          <w:color w:val="2F5496"/>
          <w:sz w:val="32"/>
          <w:szCs w:val="32"/>
        </w:rPr>
      </w:pPr>
    </w:p>
    <w:p w14:paraId="0227FEFC" w14:textId="77777777" w:rsidR="00975DF9" w:rsidRDefault="00D73C7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rPr>
          <w:color w:val="2F5496"/>
          <w:sz w:val="32"/>
          <w:szCs w:val="32"/>
        </w:rPr>
      </w:pPr>
      <w:r>
        <w:rPr>
          <w:color w:val="2F5496"/>
          <w:sz w:val="32"/>
          <w:szCs w:val="32"/>
        </w:rPr>
        <w:t>Table of Contents</w:t>
      </w:r>
    </w:p>
    <w:sdt>
      <w:sdtPr>
        <w:id w:val="-1094790484"/>
        <w:docPartObj>
          <w:docPartGallery w:val="Table of Contents"/>
          <w:docPartUnique/>
        </w:docPartObj>
      </w:sdtPr>
      <w:sdtContent>
        <w:p w14:paraId="536DBC33" w14:textId="77777777" w:rsidR="00975DF9" w:rsidRDefault="00D73C7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50"/>
            </w:tabs>
            <w:spacing w:after="100" w:line="259" w:lineRule="auto"/>
            <w:rPr>
              <w:color w:val="000000"/>
              <w:sz w:val="22"/>
              <w:szCs w:val="22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gjdgxs">
            <w:r>
              <w:rPr>
                <w:color w:val="000000"/>
                <w:sz w:val="22"/>
                <w:szCs w:val="22"/>
              </w:rPr>
              <w:t>Description</w:t>
            </w:r>
            <w:r>
              <w:rPr>
                <w:color w:val="000000"/>
                <w:sz w:val="22"/>
                <w:szCs w:val="22"/>
              </w:rPr>
              <w:tab/>
              <w:t>4</w:t>
            </w:r>
          </w:hyperlink>
        </w:p>
        <w:p w14:paraId="33D9C247" w14:textId="77777777" w:rsidR="00975DF9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50"/>
            </w:tabs>
            <w:spacing w:after="100" w:line="259" w:lineRule="auto"/>
            <w:rPr>
              <w:color w:val="000000"/>
              <w:sz w:val="22"/>
              <w:szCs w:val="22"/>
            </w:rPr>
          </w:pPr>
          <w:hyperlink w:anchor="_30j0zll">
            <w:r w:rsidR="00D73C71">
              <w:rPr>
                <w:color w:val="000000"/>
                <w:sz w:val="22"/>
                <w:szCs w:val="22"/>
              </w:rPr>
              <w:t>Security Boundary</w:t>
            </w:r>
            <w:r w:rsidR="00D73C71">
              <w:rPr>
                <w:color w:val="000000"/>
                <w:sz w:val="22"/>
                <w:szCs w:val="22"/>
              </w:rPr>
              <w:tab/>
              <w:t>4</w:t>
            </w:r>
          </w:hyperlink>
        </w:p>
        <w:p w14:paraId="43FEEECA" w14:textId="77777777" w:rsidR="00975DF9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50"/>
            </w:tabs>
            <w:spacing w:after="100" w:line="259" w:lineRule="auto"/>
            <w:rPr>
              <w:color w:val="000000"/>
              <w:sz w:val="22"/>
              <w:szCs w:val="22"/>
            </w:rPr>
          </w:pPr>
          <w:hyperlink w:anchor="_1fob9te">
            <w:r w:rsidR="00D73C71">
              <w:rPr>
                <w:color w:val="000000"/>
                <w:sz w:val="22"/>
                <w:szCs w:val="22"/>
              </w:rPr>
              <w:t>Operating Conditions</w:t>
            </w:r>
            <w:r w:rsidR="00D73C71">
              <w:rPr>
                <w:color w:val="000000"/>
                <w:sz w:val="22"/>
                <w:szCs w:val="22"/>
              </w:rPr>
              <w:tab/>
              <w:t>4</w:t>
            </w:r>
          </w:hyperlink>
        </w:p>
        <w:p w14:paraId="261BA2C9" w14:textId="77777777" w:rsidR="00975DF9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50"/>
            </w:tabs>
            <w:spacing w:after="100" w:line="259" w:lineRule="auto"/>
            <w:rPr>
              <w:color w:val="000000"/>
              <w:sz w:val="22"/>
              <w:szCs w:val="22"/>
            </w:rPr>
          </w:pPr>
          <w:hyperlink w:anchor="_3znysh7">
            <w:r w:rsidR="00D73C71">
              <w:rPr>
                <w:color w:val="000000"/>
                <w:sz w:val="22"/>
                <w:szCs w:val="22"/>
              </w:rPr>
              <w:t>Configuration Settings</w:t>
            </w:r>
            <w:r w:rsidR="00D73C71">
              <w:rPr>
                <w:color w:val="000000"/>
                <w:sz w:val="22"/>
                <w:szCs w:val="22"/>
              </w:rPr>
              <w:tab/>
              <w:t>4</w:t>
            </w:r>
          </w:hyperlink>
        </w:p>
        <w:p w14:paraId="0D40C5F9" w14:textId="77777777" w:rsidR="00975DF9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50"/>
            </w:tabs>
            <w:spacing w:after="100" w:line="259" w:lineRule="auto"/>
            <w:rPr>
              <w:color w:val="000000"/>
              <w:sz w:val="22"/>
              <w:szCs w:val="22"/>
            </w:rPr>
          </w:pPr>
          <w:hyperlink w:anchor="_2et92p0">
            <w:r w:rsidR="00D73C71">
              <w:rPr>
                <w:color w:val="000000"/>
                <w:sz w:val="22"/>
                <w:szCs w:val="22"/>
              </w:rPr>
              <w:t>Physical Security Mechanisms</w:t>
            </w:r>
            <w:r w:rsidR="00D73C71">
              <w:rPr>
                <w:color w:val="000000"/>
                <w:sz w:val="22"/>
                <w:szCs w:val="22"/>
              </w:rPr>
              <w:tab/>
              <w:t>4</w:t>
            </w:r>
          </w:hyperlink>
        </w:p>
        <w:p w14:paraId="08F7A9D7" w14:textId="77777777" w:rsidR="00975DF9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50"/>
            </w:tabs>
            <w:spacing w:after="100" w:line="259" w:lineRule="auto"/>
            <w:rPr>
              <w:color w:val="000000"/>
              <w:sz w:val="22"/>
              <w:szCs w:val="22"/>
            </w:rPr>
          </w:pPr>
          <w:hyperlink w:anchor="_tyjcwt">
            <w:r w:rsidR="00D73C71">
              <w:rPr>
                <w:color w:val="000000"/>
                <w:sz w:val="22"/>
                <w:szCs w:val="22"/>
              </w:rPr>
              <w:t>Conceptual Interfaces</w:t>
            </w:r>
            <w:r w:rsidR="00D73C71">
              <w:rPr>
                <w:color w:val="000000"/>
                <w:sz w:val="22"/>
                <w:szCs w:val="22"/>
              </w:rPr>
              <w:tab/>
              <w:t>4</w:t>
            </w:r>
          </w:hyperlink>
        </w:p>
        <w:p w14:paraId="203B626B" w14:textId="77777777" w:rsidR="00975DF9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50"/>
            </w:tabs>
            <w:spacing w:after="100" w:line="259" w:lineRule="auto"/>
            <w:rPr>
              <w:color w:val="000000"/>
              <w:sz w:val="22"/>
              <w:szCs w:val="22"/>
            </w:rPr>
          </w:pPr>
          <w:hyperlink w:anchor="_3dy6vkm">
            <w:r w:rsidR="00D73C71">
              <w:rPr>
                <w:color w:val="000000"/>
                <w:sz w:val="22"/>
                <w:szCs w:val="22"/>
              </w:rPr>
              <w:t>Min-Entropy Rate</w:t>
            </w:r>
            <w:r w:rsidR="00D73C71">
              <w:rPr>
                <w:color w:val="000000"/>
                <w:sz w:val="22"/>
                <w:szCs w:val="22"/>
              </w:rPr>
              <w:tab/>
              <w:t>4</w:t>
            </w:r>
          </w:hyperlink>
        </w:p>
        <w:p w14:paraId="213B5706" w14:textId="77777777" w:rsidR="00975DF9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50"/>
            </w:tabs>
            <w:spacing w:after="100" w:line="259" w:lineRule="auto"/>
            <w:rPr>
              <w:color w:val="000000"/>
              <w:sz w:val="22"/>
              <w:szCs w:val="22"/>
            </w:rPr>
          </w:pPr>
          <w:hyperlink w:anchor="_1t3h5sf">
            <w:r w:rsidR="00D73C71">
              <w:rPr>
                <w:color w:val="000000"/>
                <w:sz w:val="22"/>
                <w:szCs w:val="22"/>
              </w:rPr>
              <w:t>Health Tests</w:t>
            </w:r>
            <w:r w:rsidR="00D73C71">
              <w:rPr>
                <w:color w:val="000000"/>
                <w:sz w:val="22"/>
                <w:szCs w:val="22"/>
              </w:rPr>
              <w:tab/>
              <w:t>4</w:t>
            </w:r>
          </w:hyperlink>
        </w:p>
        <w:p w14:paraId="7C8644D6" w14:textId="77777777" w:rsidR="00975DF9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50"/>
            </w:tabs>
            <w:spacing w:after="100" w:line="259" w:lineRule="auto"/>
            <w:rPr>
              <w:color w:val="000000"/>
              <w:sz w:val="22"/>
              <w:szCs w:val="22"/>
            </w:rPr>
          </w:pPr>
          <w:hyperlink w:anchor="_4d34og8">
            <w:r w:rsidR="00D73C71">
              <w:rPr>
                <w:color w:val="000000"/>
                <w:sz w:val="22"/>
                <w:szCs w:val="22"/>
              </w:rPr>
              <w:t>Maintenance</w:t>
            </w:r>
            <w:r w:rsidR="00D73C71">
              <w:rPr>
                <w:color w:val="000000"/>
                <w:sz w:val="22"/>
                <w:szCs w:val="22"/>
              </w:rPr>
              <w:tab/>
              <w:t>4</w:t>
            </w:r>
          </w:hyperlink>
        </w:p>
        <w:p w14:paraId="460BC6C5" w14:textId="77777777" w:rsidR="00975DF9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50"/>
            </w:tabs>
            <w:spacing w:after="100" w:line="259" w:lineRule="auto"/>
            <w:rPr>
              <w:color w:val="000000"/>
              <w:sz w:val="22"/>
              <w:szCs w:val="22"/>
            </w:rPr>
          </w:pPr>
          <w:hyperlink w:anchor="_2s8eyo1">
            <w:r w:rsidR="00D73C71">
              <w:rPr>
                <w:color w:val="000000"/>
                <w:sz w:val="22"/>
                <w:szCs w:val="22"/>
              </w:rPr>
              <w:t>Required Testing</w:t>
            </w:r>
            <w:r w:rsidR="00D73C71">
              <w:rPr>
                <w:color w:val="000000"/>
                <w:sz w:val="22"/>
                <w:szCs w:val="22"/>
              </w:rPr>
              <w:tab/>
              <w:t>4</w:t>
            </w:r>
          </w:hyperlink>
        </w:p>
        <w:p w14:paraId="4CD54550" w14:textId="77777777" w:rsidR="00975DF9" w:rsidRDefault="00D73C71">
          <w:r>
            <w:fldChar w:fldCharType="end"/>
          </w:r>
        </w:p>
      </w:sdtContent>
    </w:sdt>
    <w:p w14:paraId="435728BC" w14:textId="1D97A201" w:rsidR="00975DF9" w:rsidRPr="00E65451" w:rsidRDefault="00D73C71">
      <w:pPr>
        <w:spacing w:after="160" w:line="259" w:lineRule="auto"/>
        <w:rPr>
          <w:b/>
          <w:bCs/>
          <w:i/>
          <w:iCs/>
          <w:color w:val="2F5496"/>
          <w:sz w:val="32"/>
          <w:szCs w:val="32"/>
        </w:rPr>
      </w:pPr>
      <w:r w:rsidRPr="00E65451">
        <w:rPr>
          <w:b/>
          <w:bCs/>
          <w:i/>
          <w:iCs/>
        </w:rPr>
        <w:br w:type="page"/>
      </w:r>
    </w:p>
    <w:p w14:paraId="01C27CC2" w14:textId="77777777" w:rsidR="00975DF9" w:rsidRDefault="00D73C71">
      <w:pPr>
        <w:pStyle w:val="Heading1"/>
      </w:pPr>
      <w:bookmarkStart w:id="0" w:name="_gjdgxs" w:colFirst="0" w:colLast="0"/>
      <w:bookmarkEnd w:id="0"/>
      <w:r>
        <w:lastRenderedPageBreak/>
        <w:t>Description</w:t>
      </w:r>
    </w:p>
    <w:p w14:paraId="1D38C465" w14:textId="5D7052FA" w:rsidR="00975DF9" w:rsidRDefault="002E72D5">
      <w:r>
        <w:t xml:space="preserve">The Trusted Platform Module 2.0 SLB 9672 Entropy Source is a physical entropy source. </w:t>
      </w:r>
      <w:r w:rsidR="00AB3372">
        <w:t xml:space="preserve">The entropy source is a Non-IID source and was tested </w:t>
      </w:r>
      <w:r w:rsidR="00432DF4">
        <w:t>for</w:t>
      </w:r>
      <w:r w:rsidR="00AB3372">
        <w:t xml:space="preserve"> the platform and firmware versions listed </w:t>
      </w:r>
      <w:r w:rsidR="0018748A">
        <w:t>on</w:t>
      </w:r>
      <w:r w:rsidR="00AB3372">
        <w:t xml:space="preserve"> </w:t>
      </w:r>
      <w:r w:rsidR="001C3722">
        <w:t>the title page</w:t>
      </w:r>
      <w:r w:rsidR="00AB3372">
        <w:t>.</w:t>
      </w:r>
      <w:r w:rsidR="00751271">
        <w:tab/>
      </w:r>
    </w:p>
    <w:p w14:paraId="25D306BA" w14:textId="77777777" w:rsidR="00975DF9" w:rsidRDefault="00D73C71">
      <w:pPr>
        <w:pStyle w:val="Heading1"/>
      </w:pPr>
      <w:bookmarkStart w:id="1" w:name="_30j0zll" w:colFirst="0" w:colLast="0"/>
      <w:bookmarkEnd w:id="1"/>
      <w:r>
        <w:t>Security Boundary</w:t>
      </w:r>
    </w:p>
    <w:p w14:paraId="6B1D7D1E" w14:textId="1F53F2A6" w:rsidR="0015006E" w:rsidRDefault="002C70DE">
      <w:r>
        <w:t xml:space="preserve">The Trusted Platform Module 2.0 SLB 9672 Entropy Source </w:t>
      </w:r>
      <w:r w:rsidR="0036762E">
        <w:t>is</w:t>
      </w:r>
      <w:r>
        <w:t xml:space="preserve"> </w:t>
      </w:r>
      <w:r w:rsidR="0036762E">
        <w:t>entirely contained</w:t>
      </w:r>
      <w:r>
        <w:t xml:space="preserve"> within a single</w:t>
      </w:r>
      <w:r w:rsidR="0036762E">
        <w:t>-</w:t>
      </w:r>
      <w:r>
        <w:t>chip module</w:t>
      </w:r>
      <w:r w:rsidR="00D73C71">
        <w:t>.</w:t>
      </w:r>
    </w:p>
    <w:p w14:paraId="2BA5EE8E" w14:textId="77777777" w:rsidR="002C70DE" w:rsidRDefault="000032C8" w:rsidP="002C70DE">
      <w:pPr>
        <w:keepNext/>
      </w:pPr>
      <w:r>
        <w:rPr>
          <w:noProof/>
        </w:rPr>
        <w:drawing>
          <wp:inline distT="0" distB="0" distL="0" distR="0" wp14:anchorId="66B58645" wp14:editId="5CECEE6A">
            <wp:extent cx="5943600" cy="2682240"/>
            <wp:effectExtent l="0" t="0" r="0" b="381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8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D7F73" w14:textId="34F4A287" w:rsidR="002C70DE" w:rsidRDefault="002C70DE" w:rsidP="002C70DE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 w:rsidR="00802AF1">
        <w:t>.</w:t>
      </w:r>
      <w:r>
        <w:t xml:space="preserve"> </w:t>
      </w:r>
      <w:r w:rsidRPr="00D61B73">
        <w:t>The Trusted Platform Module 2.0 SLB 9672 Entropy Source</w:t>
      </w:r>
    </w:p>
    <w:p w14:paraId="76E9B8F5" w14:textId="77777777" w:rsidR="00975DF9" w:rsidRDefault="00D73C71">
      <w:pPr>
        <w:pStyle w:val="Heading1"/>
      </w:pPr>
      <w:bookmarkStart w:id="2" w:name="_1fob9te" w:colFirst="0" w:colLast="0"/>
      <w:bookmarkEnd w:id="2"/>
      <w:r>
        <w:t>Operating Conditions</w:t>
      </w:r>
    </w:p>
    <w:p w14:paraId="4A7EF34D" w14:textId="0A52FC94" w:rsidR="00FF65E4" w:rsidRDefault="00C94EAC">
      <w:r>
        <w:t>The following table lists the relevant operating conditions for which the Trusted Platform Module 2.0 SLB 9672 Entropy Source was characterized.</w:t>
      </w:r>
    </w:p>
    <w:p w14:paraId="2CB0806D" w14:textId="77777777" w:rsidR="00432DF4" w:rsidRDefault="00432DF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551"/>
        <w:gridCol w:w="4110"/>
      </w:tblGrid>
      <w:tr w:rsidR="0052267E" w:rsidRPr="0036762E" w14:paraId="16DE5EE4" w14:textId="77777777" w:rsidTr="00C94EAC">
        <w:tc>
          <w:tcPr>
            <w:tcW w:w="2689" w:type="dxa"/>
          </w:tcPr>
          <w:p w14:paraId="7CBFA967" w14:textId="3F6DF688" w:rsidR="0052267E" w:rsidRPr="0036762E" w:rsidRDefault="0052267E">
            <w:pPr>
              <w:rPr>
                <w:b/>
                <w:bCs/>
              </w:rPr>
            </w:pPr>
            <w:r w:rsidRPr="0036762E">
              <w:rPr>
                <w:b/>
                <w:bCs/>
              </w:rPr>
              <w:t>Parameter</w:t>
            </w:r>
          </w:p>
        </w:tc>
        <w:tc>
          <w:tcPr>
            <w:tcW w:w="2551" w:type="dxa"/>
          </w:tcPr>
          <w:p w14:paraId="5FD2C555" w14:textId="05131A22" w:rsidR="0052267E" w:rsidRPr="0036762E" w:rsidRDefault="0052267E">
            <w:pPr>
              <w:rPr>
                <w:b/>
                <w:bCs/>
              </w:rPr>
            </w:pPr>
            <w:r w:rsidRPr="0036762E">
              <w:rPr>
                <w:b/>
                <w:bCs/>
              </w:rPr>
              <w:t>Value</w:t>
            </w:r>
          </w:p>
        </w:tc>
        <w:tc>
          <w:tcPr>
            <w:tcW w:w="4110" w:type="dxa"/>
          </w:tcPr>
          <w:p w14:paraId="33E943E4" w14:textId="256D6BDB" w:rsidR="0052267E" w:rsidRPr="0036762E" w:rsidRDefault="0052267E">
            <w:pPr>
              <w:rPr>
                <w:b/>
                <w:bCs/>
              </w:rPr>
            </w:pPr>
            <w:r w:rsidRPr="0036762E">
              <w:rPr>
                <w:b/>
                <w:bCs/>
              </w:rPr>
              <w:t>Description</w:t>
            </w:r>
          </w:p>
        </w:tc>
      </w:tr>
      <w:tr w:rsidR="0052267E" w14:paraId="32A31F2C" w14:textId="77777777" w:rsidTr="00C94EAC">
        <w:tc>
          <w:tcPr>
            <w:tcW w:w="2689" w:type="dxa"/>
          </w:tcPr>
          <w:p w14:paraId="6BEB1B3B" w14:textId="3F64E2AA" w:rsidR="0052267E" w:rsidRDefault="0052267E">
            <w:r>
              <w:t>Temperature</w:t>
            </w:r>
          </w:p>
        </w:tc>
        <w:tc>
          <w:tcPr>
            <w:tcW w:w="2551" w:type="dxa"/>
          </w:tcPr>
          <w:p w14:paraId="35808E6F" w14:textId="760A67E2" w:rsidR="0052267E" w:rsidRPr="0052267E" w:rsidRDefault="0052267E">
            <w:pPr>
              <w:rPr>
                <w:lang w:val="de-DE"/>
              </w:rPr>
            </w:pPr>
            <w:r>
              <w:t>-40</w:t>
            </w:r>
            <w:r>
              <w:rPr>
                <w:lang w:val="de-DE"/>
              </w:rPr>
              <w:t>°C</w:t>
            </w:r>
            <w:r w:rsidR="0036762E">
              <w:rPr>
                <w:lang w:val="de-DE"/>
              </w:rPr>
              <w:t xml:space="preserve"> to 1</w:t>
            </w:r>
            <w:r w:rsidR="000C66B4">
              <w:rPr>
                <w:lang w:val="de-DE"/>
              </w:rPr>
              <w:t>1</w:t>
            </w:r>
            <w:r w:rsidR="0018748A">
              <w:rPr>
                <w:lang w:val="de-DE"/>
              </w:rPr>
              <w:t>0</w:t>
            </w:r>
            <w:r w:rsidR="0036762E">
              <w:rPr>
                <w:lang w:val="de-DE"/>
              </w:rPr>
              <w:t>°C</w:t>
            </w:r>
          </w:p>
        </w:tc>
        <w:tc>
          <w:tcPr>
            <w:tcW w:w="4110" w:type="dxa"/>
          </w:tcPr>
          <w:p w14:paraId="1FE516A9" w14:textId="54ABFC68" w:rsidR="0052267E" w:rsidRDefault="0036762E">
            <w:r>
              <w:t>Operating</w:t>
            </w:r>
            <w:r w:rsidR="00C94EAC">
              <w:t xml:space="preserve"> ambient</w:t>
            </w:r>
            <w:r>
              <w:t xml:space="preserve"> temperature range</w:t>
            </w:r>
          </w:p>
        </w:tc>
      </w:tr>
      <w:tr w:rsidR="0052267E" w14:paraId="18484C47" w14:textId="77777777" w:rsidTr="00C94EAC">
        <w:tc>
          <w:tcPr>
            <w:tcW w:w="2689" w:type="dxa"/>
          </w:tcPr>
          <w:p w14:paraId="36EFA34B" w14:textId="15B13F75" w:rsidR="0052267E" w:rsidRDefault="00C94EAC">
            <w:r>
              <w:t>VDD</w:t>
            </w:r>
          </w:p>
        </w:tc>
        <w:tc>
          <w:tcPr>
            <w:tcW w:w="2551" w:type="dxa"/>
          </w:tcPr>
          <w:p w14:paraId="22583297" w14:textId="2944BBAA" w:rsidR="0052267E" w:rsidRDefault="0036762E">
            <w:r>
              <w:t>1</w:t>
            </w:r>
            <w:r w:rsidR="00C94EAC">
              <w:t>.</w:t>
            </w:r>
            <w:r w:rsidR="00840599">
              <w:t>62</w:t>
            </w:r>
            <w:r>
              <w:t xml:space="preserve"> V to 3</w:t>
            </w:r>
            <w:r w:rsidR="00C94EAC">
              <w:t>.</w:t>
            </w:r>
            <w:r w:rsidR="00840599">
              <w:t>60</w:t>
            </w:r>
            <w:r>
              <w:t xml:space="preserve"> V</w:t>
            </w:r>
          </w:p>
        </w:tc>
        <w:tc>
          <w:tcPr>
            <w:tcW w:w="4110" w:type="dxa"/>
          </w:tcPr>
          <w:p w14:paraId="2C998321" w14:textId="4FF4E4DF" w:rsidR="0052267E" w:rsidRDefault="0036762E">
            <w:r>
              <w:t>Operating supply voltage</w:t>
            </w:r>
          </w:p>
        </w:tc>
      </w:tr>
    </w:tbl>
    <w:p w14:paraId="3744A3F4" w14:textId="61723DD3" w:rsidR="00FF65E4" w:rsidRDefault="00D73C71" w:rsidP="00E46D6A">
      <w:pPr>
        <w:pStyle w:val="Heading1"/>
      </w:pPr>
      <w:bookmarkStart w:id="3" w:name="_3znysh7" w:colFirst="0" w:colLast="0"/>
      <w:bookmarkEnd w:id="3"/>
      <w:r>
        <w:t>Configuration Settings</w:t>
      </w:r>
    </w:p>
    <w:p w14:paraId="7B107CF0" w14:textId="66F80D1C" w:rsidR="00432DF4" w:rsidRDefault="00305414">
      <w:r>
        <w:t xml:space="preserve">To select the </w:t>
      </w:r>
      <w:r w:rsidR="0018748A">
        <w:t>SP 800-</w:t>
      </w:r>
      <w:r>
        <w:t>90B validated source</w:t>
      </w:r>
      <w:r w:rsidR="00432DF4">
        <w:t xml:space="preserve"> the Trusted Platform Module 2.0 SLB 9672 Entropy Source </w:t>
      </w:r>
      <w:r w:rsidR="00840599">
        <w:t>must</w:t>
      </w:r>
      <w:r w:rsidR="00432DF4">
        <w:t xml:space="preserve"> be set to </w:t>
      </w:r>
      <w:r w:rsidR="00840599" w:rsidRPr="00840599">
        <w:rPr>
          <w:b/>
          <w:bCs/>
        </w:rPr>
        <w:t>TRNG Mode</w:t>
      </w:r>
      <w:r w:rsidR="00432DF4">
        <w:t>.</w:t>
      </w:r>
    </w:p>
    <w:p w14:paraId="7E7D0F33" w14:textId="2EECF782" w:rsidR="00FF65E4" w:rsidRDefault="00840599">
      <w:r>
        <w:t xml:space="preserve">To start the entropy source, the mode must be set from </w:t>
      </w:r>
      <w:r w:rsidRPr="00840599">
        <w:rPr>
          <w:b/>
          <w:bCs/>
        </w:rPr>
        <w:t>Configuration Mode</w:t>
      </w:r>
      <w:r>
        <w:t xml:space="preserve"> into </w:t>
      </w:r>
      <w:r>
        <w:rPr>
          <w:b/>
          <w:bCs/>
        </w:rPr>
        <w:t>O</w:t>
      </w:r>
      <w:r w:rsidRPr="00840599">
        <w:rPr>
          <w:b/>
          <w:bCs/>
        </w:rPr>
        <w:t>perational Mode</w:t>
      </w:r>
      <w:r>
        <w:t>.</w:t>
      </w:r>
      <w:r w:rsidR="000F58E6">
        <w:t xml:space="preserve"> There are no further configuration settings available to the operator.</w:t>
      </w:r>
    </w:p>
    <w:p w14:paraId="73E6E3B7" w14:textId="6E89FD1E" w:rsidR="00C94EAC" w:rsidRDefault="00D73C71" w:rsidP="00C94EAC">
      <w:pPr>
        <w:pStyle w:val="Heading1"/>
      </w:pPr>
      <w:bookmarkStart w:id="4" w:name="_2et92p0" w:colFirst="0" w:colLast="0"/>
      <w:bookmarkEnd w:id="4"/>
      <w:r>
        <w:t>Physical Security Mechanisms</w:t>
      </w:r>
    </w:p>
    <w:p w14:paraId="75E52515" w14:textId="080A2032" w:rsidR="00C94EAC" w:rsidRDefault="00C94EAC">
      <w:r>
        <w:t xml:space="preserve">The Trusted Platform Module 2.0 SLB 9672 Entropy Source is part of a single-chip module that meets commercial-grade specifications for power, temperature, reliability, and </w:t>
      </w:r>
      <w:r>
        <w:lastRenderedPageBreak/>
        <w:t xml:space="preserve">shock/vibrations. The module employs standard passivation techniques. The module is intended for deployment on standard PCBs or similar assemblies. </w:t>
      </w:r>
    </w:p>
    <w:p w14:paraId="4A563290" w14:textId="2ED44EEB" w:rsidR="00C94EAC" w:rsidRDefault="00C94EAC">
      <w:r>
        <w:t>The module comes with a hard and opaque coating. Any attempt of physical tampering by mechanical means will leave evidence in form of scratches, broken edges of the coating or similar.</w:t>
      </w:r>
    </w:p>
    <w:p w14:paraId="3353ADBC" w14:textId="77777777" w:rsidR="00975DF9" w:rsidRDefault="00D73C71">
      <w:pPr>
        <w:pStyle w:val="Heading1"/>
      </w:pPr>
      <w:bookmarkStart w:id="5" w:name="_tyjcwt" w:colFirst="0" w:colLast="0"/>
      <w:bookmarkEnd w:id="5"/>
      <w:r>
        <w:t>Conceptual Interfaces</w:t>
      </w:r>
    </w:p>
    <w:p w14:paraId="3703AD9E" w14:textId="08449583" w:rsidR="00BA4E42" w:rsidRDefault="00D432F5">
      <w:r w:rsidRPr="00BA4E42">
        <w:rPr>
          <w:i/>
          <w:iCs/>
        </w:rPr>
        <w:t>GetEntropy</w:t>
      </w:r>
      <w:r>
        <w:t xml:space="preserve"> </w:t>
      </w:r>
      <w:r w:rsidR="00AB3372">
        <w:t xml:space="preserve">interface is a read operation on the </w:t>
      </w:r>
      <w:r w:rsidR="00AB3372" w:rsidRPr="00840599">
        <w:rPr>
          <w:b/>
          <w:bCs/>
          <w:i/>
          <w:iCs/>
        </w:rPr>
        <w:t>Data</w:t>
      </w:r>
      <w:r w:rsidR="00AB3372">
        <w:t xml:space="preserve"> register of the </w:t>
      </w:r>
      <w:r w:rsidR="00BA4E42">
        <w:t>Trusted Platform Module 2.0 SLB 9672 Entropy Source</w:t>
      </w:r>
      <w:r w:rsidR="00AB3372">
        <w:t xml:space="preserve">. Once the </w:t>
      </w:r>
      <w:r w:rsidR="00BA4E42">
        <w:t xml:space="preserve">ready flag is set in the </w:t>
      </w:r>
      <w:r w:rsidR="000F58E6" w:rsidRPr="000F58E6">
        <w:rPr>
          <w:b/>
          <w:bCs/>
          <w:i/>
          <w:iCs/>
        </w:rPr>
        <w:t>S</w:t>
      </w:r>
      <w:r w:rsidR="00AB3372" w:rsidRPr="000F58E6">
        <w:rPr>
          <w:b/>
          <w:bCs/>
          <w:i/>
          <w:iCs/>
        </w:rPr>
        <w:t>tatus</w:t>
      </w:r>
      <w:r w:rsidR="00AB3372">
        <w:t xml:space="preserve"> register</w:t>
      </w:r>
      <w:r w:rsidR="0018748A">
        <w:t>,</w:t>
      </w:r>
      <w:r w:rsidR="00AB3372">
        <w:t xml:space="preserve"> 32 bit of entropy data </w:t>
      </w:r>
      <w:r w:rsidR="00BA4E42">
        <w:t xml:space="preserve">can be read from the </w:t>
      </w:r>
      <w:r w:rsidR="00BA4E42" w:rsidRPr="00840599">
        <w:rPr>
          <w:b/>
          <w:bCs/>
          <w:i/>
          <w:iCs/>
        </w:rPr>
        <w:t>Data</w:t>
      </w:r>
      <w:r w:rsidR="00BA4E42">
        <w:t xml:space="preserve"> register.</w:t>
      </w:r>
    </w:p>
    <w:p w14:paraId="44494663" w14:textId="409EFFE1" w:rsidR="00BA4E42" w:rsidRDefault="00BA4E42">
      <w:r>
        <w:t xml:space="preserve">There is no dedicated </w:t>
      </w:r>
      <w:r w:rsidRPr="00BA4E42">
        <w:rPr>
          <w:i/>
          <w:iCs/>
        </w:rPr>
        <w:t>HealthTest</w:t>
      </w:r>
      <w:r>
        <w:t xml:space="preserve"> interface. Data is only released once the health testing is passed.</w:t>
      </w:r>
      <w:r w:rsidR="00840599">
        <w:t xml:space="preserve"> In case health testing fails, a f</w:t>
      </w:r>
      <w:r w:rsidR="0018748A">
        <w:t>l</w:t>
      </w:r>
      <w:r w:rsidR="00840599">
        <w:t xml:space="preserve">ag is set in the </w:t>
      </w:r>
      <w:r w:rsidR="00840599" w:rsidRPr="00840599">
        <w:rPr>
          <w:b/>
          <w:bCs/>
          <w:i/>
          <w:iCs/>
        </w:rPr>
        <w:t>Status</w:t>
      </w:r>
      <w:r w:rsidR="00840599">
        <w:t xml:space="preserve"> register. To restart the entropy source the </w:t>
      </w:r>
      <w:r w:rsidR="001C3722" w:rsidRPr="001C3722">
        <w:rPr>
          <w:b/>
          <w:bCs/>
          <w:i/>
          <w:iCs/>
        </w:rPr>
        <w:t>M</w:t>
      </w:r>
      <w:r w:rsidR="00840599" w:rsidRPr="001C3722">
        <w:rPr>
          <w:b/>
          <w:bCs/>
          <w:i/>
          <w:iCs/>
        </w:rPr>
        <w:t>ode</w:t>
      </w:r>
      <w:r w:rsidR="00840599">
        <w:t xml:space="preserve"> must be set to </w:t>
      </w:r>
      <w:r w:rsidR="00840599" w:rsidRPr="00840599">
        <w:rPr>
          <w:b/>
          <w:bCs/>
        </w:rPr>
        <w:t>Operational Mode</w:t>
      </w:r>
      <w:r w:rsidR="00840599">
        <w:t>.</w:t>
      </w:r>
    </w:p>
    <w:p w14:paraId="68B354BA" w14:textId="0B40D321" w:rsidR="00BA4E42" w:rsidRDefault="00BA4E42">
      <w:r w:rsidRPr="00BA4E42">
        <w:rPr>
          <w:i/>
          <w:iCs/>
        </w:rPr>
        <w:t>GetNoise</w:t>
      </w:r>
      <w:r>
        <w:t xml:space="preserve"> is an internal interface only available in</w:t>
      </w:r>
      <w:r w:rsidR="000F58E6">
        <w:t xml:space="preserve"> a</w:t>
      </w:r>
      <w:r>
        <w:t xml:space="preserve"> dedicated privileged mode.</w:t>
      </w:r>
    </w:p>
    <w:p w14:paraId="32388234" w14:textId="77777777" w:rsidR="00975DF9" w:rsidRDefault="00D73C71">
      <w:pPr>
        <w:pStyle w:val="Heading1"/>
      </w:pPr>
      <w:bookmarkStart w:id="6" w:name="_3dy6vkm" w:colFirst="0" w:colLast="0"/>
      <w:bookmarkEnd w:id="6"/>
      <w:r>
        <w:t>Min-Entropy Rate</w:t>
      </w:r>
    </w:p>
    <w:p w14:paraId="61F4BD28" w14:textId="3B1025EC" w:rsidR="00EA10F1" w:rsidRDefault="00EA10F1">
      <w:r>
        <w:t>H_submitter</w:t>
      </w:r>
      <w:r w:rsidR="003A00A7">
        <w:t xml:space="preserve"> = 0.73 bits</w:t>
      </w:r>
      <w:r w:rsidR="007E23DC">
        <w:t xml:space="preserve"> per </w:t>
      </w:r>
      <w:r w:rsidR="000F58E6">
        <w:t>s</w:t>
      </w:r>
      <w:r w:rsidR="003A00A7">
        <w:t>ymbol for a symbol size of one bit after digitization.</w:t>
      </w:r>
    </w:p>
    <w:p w14:paraId="302CC996" w14:textId="77777777" w:rsidR="00EA10F1" w:rsidRDefault="00EA10F1"/>
    <w:p w14:paraId="3A923672" w14:textId="07A3A61F" w:rsidR="00EA10F1" w:rsidRDefault="00EA10F1">
      <w:r>
        <w:t>We claim an output</w:t>
      </w:r>
      <w:r w:rsidR="003A00A7">
        <w:t xml:space="preserve"> (H_out)</w:t>
      </w:r>
      <w:r>
        <w:t xml:space="preserve"> of at least</w:t>
      </w:r>
      <w:r w:rsidR="003A00A7">
        <w:t xml:space="preserve"> </w:t>
      </w:r>
      <w:r>
        <w:t>7.51729 bits per byte, or 30.069 bits of min entropy per 32-bit block.</w:t>
      </w:r>
    </w:p>
    <w:p w14:paraId="70EBA7C9" w14:textId="1741CFE0" w:rsidR="00E46D6A" w:rsidRPr="00E46D6A" w:rsidRDefault="00D73C71" w:rsidP="00E46D6A">
      <w:pPr>
        <w:pStyle w:val="Heading1"/>
      </w:pPr>
      <w:bookmarkStart w:id="7" w:name="_1t3h5sf" w:colFirst="0" w:colLast="0"/>
      <w:bookmarkEnd w:id="7"/>
      <w:r>
        <w:t>Health Tests</w:t>
      </w:r>
      <w:r w:rsidR="00E46D6A">
        <w:rPr>
          <w:color w:val="FF0000"/>
        </w:rPr>
        <w:t xml:space="preserve"> </w:t>
      </w:r>
    </w:p>
    <w:p w14:paraId="11A6703F" w14:textId="77777777" w:rsidR="00E46D6A" w:rsidRDefault="00E46D6A" w:rsidP="00E46D6A">
      <w:r>
        <w:t xml:space="preserve">The Transition Count health test, a developer-defined health test, is applied both on startup and as a continuous test and assesses the health of the noise source using blocks of 128 RAW bits. The false positive rate for the Transition Count health test is quite small. </w:t>
      </w:r>
    </w:p>
    <w:p w14:paraId="6A811214" w14:textId="51F7272B" w:rsidR="00E46D6A" w:rsidRPr="00E46D6A" w:rsidRDefault="00E46D6A" w:rsidP="00E46D6A">
      <w:pPr>
        <w:ind w:firstLine="720"/>
      </w:pPr>
      <w:r w:rsidRPr="00E46D6A">
        <w:t>False Positive Rate</w:t>
      </w:r>
      <w:r>
        <w:t xml:space="preserve"> ≈ 2</w:t>
      </w:r>
      <w:r w:rsidRPr="00E46D6A">
        <w:rPr>
          <w:vertAlign w:val="superscript"/>
        </w:rPr>
        <w:t>-176</w:t>
      </w:r>
      <w:r w:rsidRPr="00E46D6A">
        <w:t>.</w:t>
      </w:r>
      <w:r>
        <w:t xml:space="preserve"> </w:t>
      </w:r>
    </w:p>
    <w:p w14:paraId="54D60B7B" w14:textId="749F6666" w:rsidR="00E46D6A" w:rsidRDefault="00E46D6A" w:rsidP="00DD6393">
      <w:r>
        <w:t>As a developer-defined health test it complies with the requirements of SP 800-90B Section 4.5.</w:t>
      </w:r>
    </w:p>
    <w:p w14:paraId="7D2CF5D1" w14:textId="2DDE49AA" w:rsidR="003A00A7" w:rsidRDefault="00DD6393" w:rsidP="00DD6393">
      <w:r>
        <w:rPr>
          <w:b/>
          <w:bCs/>
        </w:rPr>
        <w:t>Co</w:t>
      </w:r>
      <w:r w:rsidR="003A00A7" w:rsidRPr="003A00A7">
        <w:rPr>
          <w:b/>
          <w:bCs/>
        </w:rPr>
        <w:t xml:space="preserve">ntinuous health </w:t>
      </w:r>
      <w:r>
        <w:rPr>
          <w:b/>
          <w:bCs/>
        </w:rPr>
        <w:t>testing</w:t>
      </w:r>
      <w:r w:rsidR="003A00A7">
        <w:t xml:space="preserve"> </w:t>
      </w:r>
      <w:r>
        <w:t>is performed for</w:t>
      </w:r>
      <w:r w:rsidR="003A00A7">
        <w:t xml:space="preserve"> each generated output symbol</w:t>
      </w:r>
      <w:r w:rsidR="000F58E6">
        <w:t xml:space="preserve"> during normal operation</w:t>
      </w:r>
      <w:r w:rsidR="003A00A7">
        <w:t xml:space="preserve">. </w:t>
      </w:r>
      <w:r>
        <w:t>An output symbol is only released</w:t>
      </w:r>
      <w:r w:rsidR="000F58E6">
        <w:t xml:space="preserve"> to the </w:t>
      </w:r>
      <w:r w:rsidR="000F58E6" w:rsidRPr="000F58E6">
        <w:rPr>
          <w:b/>
          <w:bCs/>
          <w:i/>
          <w:iCs/>
        </w:rPr>
        <w:t>Data</w:t>
      </w:r>
      <w:r w:rsidR="000F58E6">
        <w:t xml:space="preserve"> register</w:t>
      </w:r>
      <w:r>
        <w:t xml:space="preserve"> if</w:t>
      </w:r>
      <w:r w:rsidR="003A00A7">
        <w:t xml:space="preserve"> continuous health test</w:t>
      </w:r>
      <w:r>
        <w:t>ing was pass</w:t>
      </w:r>
      <w:r w:rsidR="000F58E6">
        <w:t>ed</w:t>
      </w:r>
      <w:r w:rsidR="003A00A7">
        <w:t>.</w:t>
      </w:r>
    </w:p>
    <w:p w14:paraId="7CF3795F" w14:textId="5B73FA3F" w:rsidR="00DB15CE" w:rsidRDefault="00DB15CE">
      <w:r w:rsidRPr="003A00A7">
        <w:rPr>
          <w:b/>
          <w:bCs/>
        </w:rPr>
        <w:t>Start-</w:t>
      </w:r>
      <w:r w:rsidRPr="00E46D6A">
        <w:rPr>
          <w:b/>
          <w:bCs/>
        </w:rPr>
        <w:t>up</w:t>
      </w:r>
      <w:r w:rsidR="003A00A7" w:rsidRPr="00E46D6A">
        <w:rPr>
          <w:b/>
          <w:bCs/>
        </w:rPr>
        <w:t xml:space="preserve"> health testing</w:t>
      </w:r>
      <w:r w:rsidR="003A00A7">
        <w:t xml:space="preserve"> is</w:t>
      </w:r>
      <w:r w:rsidR="003A00A7" w:rsidRPr="00E46D6A">
        <w:rPr>
          <w:color w:val="FF0000"/>
        </w:rPr>
        <w:t xml:space="preserve"> </w:t>
      </w:r>
      <w:r w:rsidR="003A00A7">
        <w:t xml:space="preserve">performed by </w:t>
      </w:r>
      <w:r w:rsidR="00E46D6A">
        <w:t>applying the Transition Count health test</w:t>
      </w:r>
      <w:r w:rsidR="00E46D6A">
        <w:rPr>
          <w:color w:val="FF0000"/>
        </w:rPr>
        <w:t xml:space="preserve"> </w:t>
      </w:r>
      <w:r w:rsidR="00E46D6A">
        <w:t xml:space="preserve">to 1024 RAW bits. </w:t>
      </w:r>
      <w:r w:rsidR="00E46D6A" w:rsidRPr="00E46D6A">
        <w:t xml:space="preserve">This </w:t>
      </w:r>
      <w:r w:rsidR="00E46D6A">
        <w:t>is</w:t>
      </w:r>
      <w:r w:rsidR="00E46D6A" w:rsidRPr="00E46D6A">
        <w:t xml:space="preserve"> </w:t>
      </w:r>
      <w:r w:rsidR="00E46D6A">
        <w:t>initiated</w:t>
      </w:r>
      <w:r w:rsidR="00E46D6A" w:rsidRPr="00E46D6A">
        <w:t xml:space="preserve"> by </w:t>
      </w:r>
      <w:r w:rsidR="003A00A7" w:rsidRPr="00E46D6A">
        <w:t>reading 8 bytes</w:t>
      </w:r>
      <w:r w:rsidR="00E46D6A">
        <w:t xml:space="preserve"> of</w:t>
      </w:r>
      <w:r w:rsidR="00E46D6A" w:rsidRPr="00E46D6A">
        <w:t xml:space="preserve"> conditioned data</w:t>
      </w:r>
      <w:r w:rsidR="003A00A7">
        <w:t xml:space="preserve"> from </w:t>
      </w:r>
      <w:r w:rsidR="000F58E6">
        <w:t xml:space="preserve">the Trusted Platform Module 2.0 SLB 9672 Entropy Source </w:t>
      </w:r>
      <w:r w:rsidR="000F58E6" w:rsidRPr="000F58E6">
        <w:rPr>
          <w:b/>
          <w:bCs/>
          <w:i/>
          <w:iCs/>
        </w:rPr>
        <w:t>Data</w:t>
      </w:r>
      <w:r w:rsidR="003A00A7">
        <w:t xml:space="preserve"> register. If no alarm was indicated in the </w:t>
      </w:r>
      <w:r w:rsidR="003A00A7" w:rsidRPr="00840599">
        <w:rPr>
          <w:b/>
          <w:bCs/>
          <w:i/>
          <w:iCs/>
        </w:rPr>
        <w:t>Status</w:t>
      </w:r>
      <w:r w:rsidR="003A00A7">
        <w:t xml:space="preserve"> register</w:t>
      </w:r>
      <w:r w:rsidR="00E46D6A">
        <w:t xml:space="preserve"> after 8 bytes were read</w:t>
      </w:r>
      <w:r w:rsidR="003A00A7">
        <w:t>, the start-up health testing</w:t>
      </w:r>
      <w:r w:rsidR="00E46D6A">
        <w:t xml:space="preserve"> result</w:t>
      </w:r>
      <w:r w:rsidR="003A00A7">
        <w:t xml:space="preserve"> is </w:t>
      </w:r>
      <w:r w:rsidR="00E46D6A">
        <w:t>“</w:t>
      </w:r>
      <w:r w:rsidR="003A00A7" w:rsidRPr="00E46D6A">
        <w:t>pass</w:t>
      </w:r>
      <w:r w:rsidR="00E46D6A">
        <w:t>”</w:t>
      </w:r>
      <w:r w:rsidR="000F58E6">
        <w:t xml:space="preserve"> for </w:t>
      </w:r>
      <w:r w:rsidR="00E46D6A">
        <w:t xml:space="preserve">the </w:t>
      </w:r>
      <w:r w:rsidR="000F58E6">
        <w:t>1024 RAW bits</w:t>
      </w:r>
      <w:r w:rsidR="003A00A7">
        <w:t>.</w:t>
      </w:r>
    </w:p>
    <w:p w14:paraId="346B422F" w14:textId="365DE35E" w:rsidR="003A00A7" w:rsidRPr="00DB15CE" w:rsidRDefault="003A00A7">
      <w:r w:rsidRPr="003A00A7">
        <w:rPr>
          <w:b/>
          <w:bCs/>
        </w:rPr>
        <w:t>On demand health testing</w:t>
      </w:r>
      <w:r>
        <w:t xml:space="preserve"> is possible by reading entropy data from the </w:t>
      </w:r>
      <w:r w:rsidR="000F58E6">
        <w:t xml:space="preserve">Trusted Platform Module 2.0 SLB 9672 Entropy Source </w:t>
      </w:r>
      <w:r w:rsidR="000F58E6" w:rsidRPr="000F58E6">
        <w:rPr>
          <w:b/>
          <w:bCs/>
          <w:i/>
          <w:iCs/>
        </w:rPr>
        <w:t>Data</w:t>
      </w:r>
      <w:r w:rsidR="000F58E6">
        <w:t xml:space="preserve"> register</w:t>
      </w:r>
      <w:r>
        <w:t xml:space="preserve"> and monitoring the health test error bit in the </w:t>
      </w:r>
      <w:r w:rsidR="00840599" w:rsidRPr="00840599">
        <w:rPr>
          <w:b/>
          <w:bCs/>
          <w:i/>
          <w:iCs/>
        </w:rPr>
        <w:t>S</w:t>
      </w:r>
      <w:r w:rsidRPr="00840599">
        <w:rPr>
          <w:b/>
          <w:bCs/>
          <w:i/>
          <w:iCs/>
        </w:rPr>
        <w:t>tatus</w:t>
      </w:r>
      <w:r>
        <w:t xml:space="preserve"> register.</w:t>
      </w:r>
    </w:p>
    <w:p w14:paraId="31C3A047" w14:textId="77777777" w:rsidR="00975DF9" w:rsidRDefault="00D73C71">
      <w:pPr>
        <w:pStyle w:val="Heading1"/>
      </w:pPr>
      <w:bookmarkStart w:id="8" w:name="_4d34og8" w:colFirst="0" w:colLast="0"/>
      <w:bookmarkEnd w:id="8"/>
      <w:r>
        <w:t>Maintenance</w:t>
      </w:r>
    </w:p>
    <w:p w14:paraId="38E88AC0" w14:textId="0ACDEEC5" w:rsidR="00975DF9" w:rsidRDefault="003442CA">
      <w:r>
        <w:t xml:space="preserve">There is no special maintenance necessary </w:t>
      </w:r>
      <w:r w:rsidR="00B92515">
        <w:t>to</w:t>
      </w:r>
      <w:r>
        <w:t xml:space="preserve"> operate the </w:t>
      </w:r>
      <w:r w:rsidR="00BA4E42">
        <w:t>Trusted Platform Module 2.0 SLB 9672 Entropy Source</w:t>
      </w:r>
      <w:r>
        <w:t>.</w:t>
      </w:r>
    </w:p>
    <w:p w14:paraId="4C1FC21D" w14:textId="77777777" w:rsidR="00975DF9" w:rsidRDefault="00D73C71">
      <w:pPr>
        <w:pStyle w:val="Heading1"/>
      </w:pPr>
      <w:bookmarkStart w:id="9" w:name="_2s8eyo1" w:colFirst="0" w:colLast="0"/>
      <w:bookmarkEnd w:id="9"/>
      <w:r>
        <w:lastRenderedPageBreak/>
        <w:t>Required Testing</w:t>
      </w:r>
    </w:p>
    <w:p w14:paraId="24BB454D" w14:textId="004FFF01" w:rsidR="00E46D6A" w:rsidRDefault="000F58E6" w:rsidP="00E3725F">
      <w:pPr>
        <w:pBdr>
          <w:top w:val="nil"/>
          <w:left w:val="nil"/>
          <w:bottom w:val="nil"/>
          <w:right w:val="nil"/>
          <w:between w:val="nil"/>
        </w:pBdr>
      </w:pPr>
      <w:r>
        <w:t xml:space="preserve">There </w:t>
      </w:r>
      <w:r w:rsidR="00E3725F">
        <w:t>is no additional testing required by the target platform.</w:t>
      </w:r>
      <w:r w:rsidR="00E46D6A">
        <w:t xml:space="preserve"> Since </w:t>
      </w:r>
      <w:r w:rsidR="00E46D6A" w:rsidRPr="00BA4E42">
        <w:rPr>
          <w:i/>
          <w:iCs/>
        </w:rPr>
        <w:t>GetNoise</w:t>
      </w:r>
      <w:r w:rsidR="00E46D6A">
        <w:t xml:space="preserve"> is an internal interface only available in a dedicated privileged mode, the user must rely on the health test to ensure the entropy source is configured correctly and is working as expected.</w:t>
      </w:r>
    </w:p>
    <w:p w14:paraId="36BEE7A5" w14:textId="54C980A7" w:rsidR="00E46D6A" w:rsidRDefault="00E46D6A" w:rsidP="00E3725F">
      <w:pPr>
        <w:pBdr>
          <w:top w:val="nil"/>
          <w:left w:val="nil"/>
          <w:bottom w:val="nil"/>
          <w:right w:val="nil"/>
          <w:between w:val="nil"/>
        </w:pBdr>
      </w:pPr>
    </w:p>
    <w:p w14:paraId="51596D18" w14:textId="19429AC8" w:rsidR="00E46D6A" w:rsidRPr="00E46D6A" w:rsidRDefault="00E46D6A" w:rsidP="00E3725F">
      <w:pPr>
        <w:pBdr>
          <w:top w:val="nil"/>
          <w:left w:val="nil"/>
          <w:bottom w:val="nil"/>
          <w:right w:val="nil"/>
          <w:between w:val="nil"/>
        </w:pBdr>
      </w:pPr>
    </w:p>
    <w:sectPr w:rsidR="00E46D6A" w:rsidRPr="00E46D6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C414F" w14:textId="77777777" w:rsidR="00517689" w:rsidRDefault="00517689" w:rsidP="00225DBB">
      <w:r>
        <w:separator/>
      </w:r>
    </w:p>
  </w:endnote>
  <w:endnote w:type="continuationSeparator" w:id="0">
    <w:p w14:paraId="670174AA" w14:textId="77777777" w:rsidR="00517689" w:rsidRDefault="00517689" w:rsidP="00225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AB3C6" w14:textId="77777777" w:rsidR="00517689" w:rsidRDefault="00517689" w:rsidP="00225DBB">
      <w:r>
        <w:separator/>
      </w:r>
    </w:p>
  </w:footnote>
  <w:footnote w:type="continuationSeparator" w:id="0">
    <w:p w14:paraId="2778F1D5" w14:textId="77777777" w:rsidR="00517689" w:rsidRDefault="00517689" w:rsidP="00225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34D96"/>
    <w:multiLevelType w:val="multilevel"/>
    <w:tmpl w:val="543C08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13025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F9"/>
    <w:rsid w:val="000032C8"/>
    <w:rsid w:val="000C66B4"/>
    <w:rsid w:val="000F58E6"/>
    <w:rsid w:val="0015006E"/>
    <w:rsid w:val="0018748A"/>
    <w:rsid w:val="0019093E"/>
    <w:rsid w:val="001C3722"/>
    <w:rsid w:val="001C6A8A"/>
    <w:rsid w:val="00225DBB"/>
    <w:rsid w:val="002C70DE"/>
    <w:rsid w:val="002E72D5"/>
    <w:rsid w:val="002F3460"/>
    <w:rsid w:val="00305414"/>
    <w:rsid w:val="003442CA"/>
    <w:rsid w:val="0036762E"/>
    <w:rsid w:val="003A00A7"/>
    <w:rsid w:val="00432DF4"/>
    <w:rsid w:val="00517689"/>
    <w:rsid w:val="0052267E"/>
    <w:rsid w:val="00635E70"/>
    <w:rsid w:val="00751271"/>
    <w:rsid w:val="00753E92"/>
    <w:rsid w:val="007E23DC"/>
    <w:rsid w:val="00802AF1"/>
    <w:rsid w:val="00840599"/>
    <w:rsid w:val="0091245B"/>
    <w:rsid w:val="00975DF9"/>
    <w:rsid w:val="00A123B5"/>
    <w:rsid w:val="00AB3372"/>
    <w:rsid w:val="00B92515"/>
    <w:rsid w:val="00B97BAB"/>
    <w:rsid w:val="00BA4E42"/>
    <w:rsid w:val="00C94EAC"/>
    <w:rsid w:val="00CD06E0"/>
    <w:rsid w:val="00D3284F"/>
    <w:rsid w:val="00D432F5"/>
    <w:rsid w:val="00D73C71"/>
    <w:rsid w:val="00D93164"/>
    <w:rsid w:val="00DB15CE"/>
    <w:rsid w:val="00DD6393"/>
    <w:rsid w:val="00E3725F"/>
    <w:rsid w:val="00E46D6A"/>
    <w:rsid w:val="00E65451"/>
    <w:rsid w:val="00EA10F1"/>
    <w:rsid w:val="00F957A8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82B2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25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DBB"/>
  </w:style>
  <w:style w:type="paragraph" w:styleId="Footer">
    <w:name w:val="footer"/>
    <w:basedOn w:val="Normal"/>
    <w:link w:val="FooterChar"/>
    <w:uiPriority w:val="99"/>
    <w:unhideWhenUsed/>
    <w:rsid w:val="00225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DBB"/>
  </w:style>
  <w:style w:type="paragraph" w:styleId="Caption">
    <w:name w:val="caption"/>
    <w:basedOn w:val="Normal"/>
    <w:next w:val="Normal"/>
    <w:uiPriority w:val="35"/>
    <w:semiHidden/>
    <w:unhideWhenUsed/>
    <w:qFormat/>
    <w:rsid w:val="002C70DE"/>
    <w:pPr>
      <w:spacing w:after="200"/>
    </w:pPr>
    <w:rPr>
      <w:i/>
      <w:iCs/>
      <w:color w:val="1F497D" w:themeColor="text2"/>
      <w:sz w:val="18"/>
      <w:szCs w:val="18"/>
    </w:rPr>
  </w:style>
  <w:style w:type="table" w:styleId="TableGrid">
    <w:name w:val="Table Grid"/>
    <w:basedOn w:val="TableNormal"/>
    <w:uiPriority w:val="39"/>
    <w:rsid w:val="00522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694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2022-12-09T22:37:00Z</dcterms:created>
  <dcterms:modified xsi:type="dcterms:W3CDTF">2023-03-03T20:45:00Z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6324211-5033-4782-8e72-c0d1146c3a50_Enabled">
    <vt:lpwstr>true</vt:lpwstr>
  </property>
  <property fmtid="{D5CDD505-2E9C-101B-9397-08002B2CF9AE}" pid="3" name="MSIP_Label_56324211-5033-4782-8e72-c0d1146c3a50_SetDate">
    <vt:lpwstr>2022-11-29T21:57:03Z</vt:lpwstr>
  </property>
  <property fmtid="{D5CDD505-2E9C-101B-9397-08002B2CF9AE}" pid="4" name="MSIP_Label_56324211-5033-4782-8e72-c0d1146c3a50_Method">
    <vt:lpwstr>Privileged</vt:lpwstr>
  </property>
  <property fmtid="{D5CDD505-2E9C-101B-9397-08002B2CF9AE}" pid="5" name="MSIP_Label_56324211-5033-4782-8e72-c0d1146c3a50_Name">
    <vt:lpwstr>56324211-5033-4782-8e72-c0d1146c3a50</vt:lpwstr>
  </property>
  <property fmtid="{D5CDD505-2E9C-101B-9397-08002B2CF9AE}" pid="6" name="MSIP_Label_56324211-5033-4782-8e72-c0d1146c3a50_SiteId">
    <vt:lpwstr>eeb8d0e8-3544-41d3-aac6-934c309faf5a</vt:lpwstr>
  </property>
  <property fmtid="{D5CDD505-2E9C-101B-9397-08002B2CF9AE}" pid="7" name="MSIP_Label_56324211-5033-4782-8e72-c0d1146c3a50_ActionId">
    <vt:lpwstr>999569b9-f3ea-478f-83d2-fcb972c956b5</vt:lpwstr>
  </property>
  <property fmtid="{D5CDD505-2E9C-101B-9397-08002B2CF9AE}" pid="8" name="MSIP_Label_56324211-5033-4782-8e72-c0d1146c3a50_ContentBits">
    <vt:lpwstr>0</vt:lpwstr>
  </property>
</Properties>
</file>