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AB05" w14:textId="334C30A8" w:rsidR="00885396" w:rsidRPr="00FE0387" w:rsidRDefault="00351E49" w:rsidP="00FE0387">
      <w:pPr>
        <w:jc w:val="center"/>
        <w:rPr>
          <w:sz w:val="52"/>
          <w:szCs w:val="52"/>
        </w:rPr>
      </w:pPr>
      <w:r w:rsidRPr="00FE0387">
        <w:rPr>
          <w:sz w:val="52"/>
          <w:szCs w:val="52"/>
        </w:rPr>
        <w:t>Change Document</w:t>
      </w:r>
    </w:p>
    <w:p w14:paraId="14FA263C" w14:textId="251F7910" w:rsidR="00365EB6" w:rsidRDefault="00365EB6" w:rsidP="00351E49">
      <w:pPr>
        <w:pBdr>
          <w:bottom w:val="single" w:sz="12" w:space="1" w:color="auto"/>
        </w:pBdr>
        <w:jc w:val="center"/>
      </w:pPr>
      <w:r>
        <w:t>Version 1.0</w:t>
      </w:r>
    </w:p>
    <w:p w14:paraId="5BC43FF6" w14:textId="206756FA" w:rsidR="00365EB6" w:rsidRDefault="00365EB6" w:rsidP="00351E49">
      <w:pPr>
        <w:pBdr>
          <w:bottom w:val="single" w:sz="12" w:space="1" w:color="auto"/>
        </w:pBdr>
        <w:jc w:val="center"/>
      </w:pPr>
      <w:r>
        <w:t>March 15, 2024</w:t>
      </w:r>
    </w:p>
    <w:p w14:paraId="65D8744E" w14:textId="503C2AD5" w:rsidR="00351E49" w:rsidRPr="00351E49" w:rsidRDefault="00351E49" w:rsidP="00351E49">
      <w:pPr>
        <w:rPr>
          <w:sz w:val="28"/>
          <w:szCs w:val="28"/>
        </w:rPr>
      </w:pPr>
      <w:r w:rsidRPr="00351E49">
        <w:rPr>
          <w:sz w:val="28"/>
          <w:szCs w:val="28"/>
        </w:rPr>
        <w:t>Date:</w:t>
      </w:r>
      <w:r>
        <w:rPr>
          <w:sz w:val="28"/>
          <w:szCs w:val="28"/>
        </w:rPr>
        <w:t xml:space="preserve"> ___________________</w:t>
      </w:r>
    </w:p>
    <w:p w14:paraId="2677C7EC" w14:textId="77777777" w:rsidR="00351E49" w:rsidRPr="009C7D95" w:rsidRDefault="00351E49" w:rsidP="00351E49">
      <w:pPr>
        <w:rPr>
          <w:sz w:val="28"/>
          <w:szCs w:val="28"/>
        </w:rPr>
      </w:pPr>
      <w:r w:rsidRPr="009C7D95">
        <w:rPr>
          <w:sz w:val="28"/>
          <w:szCs w:val="28"/>
        </w:rPr>
        <w:t>Lab Name: __________________________________</w:t>
      </w:r>
    </w:p>
    <w:p w14:paraId="5C3D7CBA" w14:textId="77777777" w:rsidR="00351E49" w:rsidRPr="009C7D95" w:rsidRDefault="00351E49" w:rsidP="00351E49">
      <w:pPr>
        <w:rPr>
          <w:sz w:val="28"/>
          <w:szCs w:val="28"/>
        </w:rPr>
      </w:pPr>
      <w:r w:rsidRPr="009C7D95">
        <w:rPr>
          <w:sz w:val="28"/>
          <w:szCs w:val="28"/>
        </w:rPr>
        <w:t>NVLAP #: __________________________________</w:t>
      </w:r>
    </w:p>
    <w:p w14:paraId="3DE6DD29" w14:textId="77777777" w:rsidR="00351E49" w:rsidRPr="009C7D95" w:rsidRDefault="00351E49" w:rsidP="00351E49">
      <w:pPr>
        <w:rPr>
          <w:sz w:val="28"/>
          <w:szCs w:val="28"/>
        </w:rPr>
      </w:pPr>
      <w:r w:rsidRPr="009C7D95">
        <w:rPr>
          <w:sz w:val="28"/>
          <w:szCs w:val="28"/>
        </w:rPr>
        <w:t>Vendor Name: __________________________________</w:t>
      </w:r>
    </w:p>
    <w:p w14:paraId="5CBF55D2" w14:textId="0DAC5598" w:rsidR="00351E49" w:rsidRDefault="00351E49" w:rsidP="00351E49">
      <w:pPr>
        <w:rPr>
          <w:sz w:val="28"/>
          <w:szCs w:val="28"/>
        </w:rPr>
      </w:pPr>
      <w:r w:rsidRPr="009C7D95">
        <w:rPr>
          <w:sz w:val="28"/>
          <w:szCs w:val="28"/>
        </w:rPr>
        <w:t>Module Name: __________________________________</w:t>
      </w:r>
    </w:p>
    <w:p w14:paraId="275C722D" w14:textId="0263E25F" w:rsidR="00ED0D0C" w:rsidRDefault="00ED0D0C" w:rsidP="00351E49">
      <w:pPr>
        <w:rPr>
          <w:sz w:val="28"/>
          <w:szCs w:val="28"/>
        </w:rPr>
      </w:pPr>
      <w:r>
        <w:rPr>
          <w:sz w:val="28"/>
          <w:szCs w:val="28"/>
        </w:rPr>
        <w:t xml:space="preserve">Submission </w:t>
      </w:r>
      <w:r w:rsidR="00086419">
        <w:rPr>
          <w:sz w:val="28"/>
          <w:szCs w:val="28"/>
        </w:rPr>
        <w:t>Scenario</w:t>
      </w:r>
      <w:r>
        <w:rPr>
          <w:sz w:val="28"/>
          <w:szCs w:val="28"/>
        </w:rPr>
        <w:t>:  ______________________</w:t>
      </w:r>
    </w:p>
    <w:p w14:paraId="24F79D0B" w14:textId="48032125" w:rsidR="00C72453" w:rsidRDefault="00C72453" w:rsidP="00351E49">
      <w:pPr>
        <w:rPr>
          <w:sz w:val="28"/>
          <w:szCs w:val="28"/>
        </w:rPr>
      </w:pPr>
      <w:r>
        <w:rPr>
          <w:sz w:val="28"/>
          <w:szCs w:val="28"/>
        </w:rPr>
        <w:t>Tester 1: _____________________________</w:t>
      </w:r>
      <w:r w:rsidR="00D92301">
        <w:rPr>
          <w:sz w:val="28"/>
          <w:szCs w:val="28"/>
        </w:rPr>
        <w:t>_________</w:t>
      </w:r>
      <w:r>
        <w:rPr>
          <w:sz w:val="28"/>
          <w:szCs w:val="28"/>
        </w:rPr>
        <w:t xml:space="preserve">   CVP # ______________</w:t>
      </w:r>
    </w:p>
    <w:p w14:paraId="12165286" w14:textId="25BACC77" w:rsidR="00C72453" w:rsidRDefault="00C72453" w:rsidP="00351E49">
      <w:pPr>
        <w:rPr>
          <w:sz w:val="28"/>
          <w:szCs w:val="28"/>
        </w:rPr>
      </w:pPr>
      <w:r>
        <w:rPr>
          <w:sz w:val="28"/>
          <w:szCs w:val="28"/>
        </w:rPr>
        <w:t>Tester 2: _____________________________</w:t>
      </w:r>
      <w:r w:rsidR="00D92301">
        <w:rPr>
          <w:sz w:val="28"/>
          <w:szCs w:val="28"/>
        </w:rPr>
        <w:t>_________</w:t>
      </w:r>
      <w:r>
        <w:rPr>
          <w:sz w:val="28"/>
          <w:szCs w:val="28"/>
        </w:rPr>
        <w:t xml:space="preserve">   CVP # ______________</w:t>
      </w:r>
    </w:p>
    <w:p w14:paraId="33850669" w14:textId="51491B05" w:rsidR="00C72453" w:rsidRDefault="00D92301" w:rsidP="00351E49">
      <w:pPr>
        <w:rPr>
          <w:sz w:val="28"/>
          <w:szCs w:val="28"/>
        </w:rPr>
      </w:pPr>
      <w:r>
        <w:rPr>
          <w:sz w:val="28"/>
          <w:szCs w:val="28"/>
        </w:rPr>
        <w:t>Tech Reviewer 1</w:t>
      </w:r>
      <w:r w:rsidR="00C72453">
        <w:rPr>
          <w:sz w:val="28"/>
          <w:szCs w:val="28"/>
        </w:rPr>
        <w:t>: _______________________</w:t>
      </w:r>
      <w:r>
        <w:rPr>
          <w:sz w:val="28"/>
          <w:szCs w:val="28"/>
        </w:rPr>
        <w:t>________</w:t>
      </w:r>
      <w:r w:rsidR="00C72453">
        <w:rPr>
          <w:sz w:val="28"/>
          <w:szCs w:val="28"/>
        </w:rPr>
        <w:t xml:space="preserve"> CVP # ______________</w:t>
      </w:r>
    </w:p>
    <w:p w14:paraId="7FDFEDCE" w14:textId="1D92645E" w:rsidR="00351E49" w:rsidRDefault="00351E49" w:rsidP="00351E49">
      <w:pPr>
        <w:rPr>
          <w:sz w:val="28"/>
          <w:szCs w:val="28"/>
        </w:rPr>
      </w:pPr>
    </w:p>
    <w:p w14:paraId="390AF405" w14:textId="77777777" w:rsidR="00B73F75" w:rsidRDefault="00B73F75">
      <w:pPr>
        <w:rPr>
          <w:rFonts w:ascii="Times New Roman" w:eastAsia="Times New Roman" w:hAnsi="Times New Roman" w:cs="Times New Roman"/>
          <w:color w:val="2F5496" w:themeColor="accent1" w:themeShade="BF"/>
          <w:sz w:val="32"/>
          <w:szCs w:val="32"/>
        </w:rPr>
      </w:pPr>
      <w:r>
        <w:rPr>
          <w:rFonts w:ascii="Times New Roman" w:eastAsia="Times New Roman" w:hAnsi="Times New Roman" w:cs="Times New Roman"/>
        </w:rPr>
        <w:br w:type="page"/>
      </w:r>
    </w:p>
    <w:sdt>
      <w:sdtPr>
        <w:rPr>
          <w:rFonts w:asciiTheme="minorHAnsi" w:eastAsiaTheme="minorHAnsi" w:hAnsiTheme="minorHAnsi" w:cstheme="minorBidi"/>
          <w:color w:val="auto"/>
          <w:sz w:val="22"/>
          <w:szCs w:val="22"/>
        </w:rPr>
        <w:id w:val="383222382"/>
        <w:docPartObj>
          <w:docPartGallery w:val="Table of Contents"/>
          <w:docPartUnique/>
        </w:docPartObj>
      </w:sdtPr>
      <w:sdtEndPr>
        <w:rPr>
          <w:b/>
          <w:bCs/>
          <w:noProof/>
        </w:rPr>
      </w:sdtEndPr>
      <w:sdtContent>
        <w:p w14:paraId="6A314557" w14:textId="117688D3" w:rsidR="00530FA0" w:rsidRDefault="00530FA0">
          <w:pPr>
            <w:pStyle w:val="TOCHeading"/>
          </w:pPr>
          <w:r>
            <w:t>Contents</w:t>
          </w:r>
        </w:p>
        <w:p w14:paraId="137DDCFF" w14:textId="547F501F" w:rsidR="00546466" w:rsidRDefault="00530FA0">
          <w:pPr>
            <w:pStyle w:val="TOC1"/>
            <w:tabs>
              <w:tab w:val="left" w:pos="440"/>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61415363" w:history="1">
            <w:r w:rsidR="00546466" w:rsidRPr="007F2BDB">
              <w:rPr>
                <w:rStyle w:val="Hyperlink"/>
                <w:rFonts w:ascii="Times New Roman" w:eastAsia="Times New Roman" w:hAnsi="Times New Roman" w:cs="Times New Roman"/>
                <w:noProof/>
              </w:rPr>
              <w:t>1.</w:t>
            </w:r>
            <w:r w:rsidR="00546466">
              <w:rPr>
                <w:rFonts w:eastAsiaTheme="minorEastAsia"/>
                <w:noProof/>
                <w:kern w:val="2"/>
                <w14:ligatures w14:val="standardContextual"/>
              </w:rPr>
              <w:tab/>
            </w:r>
            <w:r w:rsidR="00546466" w:rsidRPr="007F2BDB">
              <w:rPr>
                <w:rStyle w:val="Hyperlink"/>
                <w:rFonts w:ascii="Times New Roman" w:eastAsia="Times New Roman" w:hAnsi="Times New Roman" w:cs="Times New Roman"/>
                <w:noProof/>
              </w:rPr>
              <w:t>Submission Scenarios</w:t>
            </w:r>
            <w:r w:rsidR="00546466">
              <w:rPr>
                <w:noProof/>
                <w:webHidden/>
              </w:rPr>
              <w:tab/>
            </w:r>
            <w:r w:rsidR="00546466">
              <w:rPr>
                <w:noProof/>
                <w:webHidden/>
              </w:rPr>
              <w:fldChar w:fldCharType="begin"/>
            </w:r>
            <w:r w:rsidR="00546466">
              <w:rPr>
                <w:noProof/>
                <w:webHidden/>
              </w:rPr>
              <w:instrText xml:space="preserve"> PAGEREF _Toc161415363 \h </w:instrText>
            </w:r>
            <w:r w:rsidR="00546466">
              <w:rPr>
                <w:noProof/>
                <w:webHidden/>
              </w:rPr>
            </w:r>
            <w:r w:rsidR="00546466">
              <w:rPr>
                <w:noProof/>
                <w:webHidden/>
              </w:rPr>
              <w:fldChar w:fldCharType="separate"/>
            </w:r>
            <w:r w:rsidR="00546466">
              <w:rPr>
                <w:noProof/>
                <w:webHidden/>
              </w:rPr>
              <w:t>3</w:t>
            </w:r>
            <w:r w:rsidR="00546466">
              <w:rPr>
                <w:noProof/>
                <w:webHidden/>
              </w:rPr>
              <w:fldChar w:fldCharType="end"/>
            </w:r>
          </w:hyperlink>
        </w:p>
        <w:p w14:paraId="5E93ED90" w14:textId="3F12B2AF" w:rsidR="00546466" w:rsidRDefault="00546466">
          <w:pPr>
            <w:pStyle w:val="TOC2"/>
            <w:tabs>
              <w:tab w:val="left" w:pos="880"/>
              <w:tab w:val="right" w:leader="dot" w:pos="9350"/>
            </w:tabs>
            <w:rPr>
              <w:rFonts w:eastAsiaTheme="minorEastAsia"/>
              <w:noProof/>
              <w:kern w:val="2"/>
              <w14:ligatures w14:val="standardContextual"/>
            </w:rPr>
          </w:pPr>
          <w:hyperlink w:anchor="_Toc161415364" w:history="1">
            <w:r w:rsidRPr="007F2BDB">
              <w:rPr>
                <w:rStyle w:val="Hyperlink"/>
                <w:rFonts w:asciiTheme="majorHAnsi" w:eastAsia="Times New Roman" w:hAnsiTheme="majorHAnsi" w:cstheme="majorBidi"/>
                <w:noProof/>
              </w:rPr>
              <w:t>1.1.</w:t>
            </w:r>
            <w:r>
              <w:rPr>
                <w:rFonts w:eastAsiaTheme="minorEastAsia"/>
                <w:noProof/>
                <w:kern w:val="2"/>
                <w14:ligatures w14:val="standardContextual"/>
              </w:rPr>
              <w:tab/>
            </w:r>
            <w:r w:rsidRPr="007F2BDB">
              <w:rPr>
                <w:rStyle w:val="Hyperlink"/>
                <w:rFonts w:asciiTheme="majorHAnsi" w:eastAsia="Times New Roman" w:hAnsiTheme="majorHAnsi" w:cstheme="majorBidi"/>
                <w:noProof/>
              </w:rPr>
              <w:t>Requirements for all revalidations</w:t>
            </w:r>
            <w:r>
              <w:rPr>
                <w:noProof/>
                <w:webHidden/>
              </w:rPr>
              <w:tab/>
            </w:r>
            <w:r>
              <w:rPr>
                <w:noProof/>
                <w:webHidden/>
              </w:rPr>
              <w:fldChar w:fldCharType="begin"/>
            </w:r>
            <w:r>
              <w:rPr>
                <w:noProof/>
                <w:webHidden/>
              </w:rPr>
              <w:instrText xml:space="preserve"> PAGEREF _Toc161415364 \h </w:instrText>
            </w:r>
            <w:r>
              <w:rPr>
                <w:noProof/>
                <w:webHidden/>
              </w:rPr>
            </w:r>
            <w:r>
              <w:rPr>
                <w:noProof/>
                <w:webHidden/>
              </w:rPr>
              <w:fldChar w:fldCharType="separate"/>
            </w:r>
            <w:r>
              <w:rPr>
                <w:noProof/>
                <w:webHidden/>
              </w:rPr>
              <w:t>3</w:t>
            </w:r>
            <w:r>
              <w:rPr>
                <w:noProof/>
                <w:webHidden/>
              </w:rPr>
              <w:fldChar w:fldCharType="end"/>
            </w:r>
          </w:hyperlink>
        </w:p>
        <w:p w14:paraId="6C0D9FBA" w14:textId="0D509C04" w:rsidR="00546466" w:rsidRDefault="00546466">
          <w:pPr>
            <w:pStyle w:val="TOC2"/>
            <w:tabs>
              <w:tab w:val="left" w:pos="880"/>
              <w:tab w:val="right" w:leader="dot" w:pos="9350"/>
            </w:tabs>
            <w:rPr>
              <w:rFonts w:eastAsiaTheme="minorEastAsia"/>
              <w:noProof/>
              <w:kern w:val="2"/>
              <w14:ligatures w14:val="standardContextual"/>
            </w:rPr>
          </w:pPr>
          <w:hyperlink w:anchor="_Toc161415365" w:history="1">
            <w:r w:rsidRPr="007F2BDB">
              <w:rPr>
                <w:rStyle w:val="Hyperlink"/>
                <w:rFonts w:asciiTheme="majorHAnsi" w:eastAsia="Times New Roman" w:hAnsiTheme="majorHAnsi" w:cstheme="majorBidi"/>
                <w:noProof/>
              </w:rPr>
              <w:t>1.2.</w:t>
            </w:r>
            <w:r>
              <w:rPr>
                <w:rFonts w:eastAsiaTheme="minorEastAsia"/>
                <w:noProof/>
                <w:kern w:val="2"/>
                <w14:ligatures w14:val="standardContextual"/>
              </w:rPr>
              <w:tab/>
            </w:r>
            <w:r w:rsidRPr="007F2BDB">
              <w:rPr>
                <w:rStyle w:val="Hyperlink"/>
                <w:rFonts w:asciiTheme="majorHAnsi" w:eastAsia="Times New Roman" w:hAnsiTheme="majorHAnsi" w:cstheme="majorBidi"/>
                <w:noProof/>
              </w:rPr>
              <w:t>FS</w:t>
            </w:r>
            <w:r>
              <w:rPr>
                <w:noProof/>
                <w:webHidden/>
              </w:rPr>
              <w:tab/>
            </w:r>
            <w:r>
              <w:rPr>
                <w:noProof/>
                <w:webHidden/>
              </w:rPr>
              <w:fldChar w:fldCharType="begin"/>
            </w:r>
            <w:r>
              <w:rPr>
                <w:noProof/>
                <w:webHidden/>
              </w:rPr>
              <w:instrText xml:space="preserve"> PAGEREF _Toc161415365 \h </w:instrText>
            </w:r>
            <w:r>
              <w:rPr>
                <w:noProof/>
                <w:webHidden/>
              </w:rPr>
            </w:r>
            <w:r>
              <w:rPr>
                <w:noProof/>
                <w:webHidden/>
              </w:rPr>
              <w:fldChar w:fldCharType="separate"/>
            </w:r>
            <w:r>
              <w:rPr>
                <w:noProof/>
                <w:webHidden/>
              </w:rPr>
              <w:t>5</w:t>
            </w:r>
            <w:r>
              <w:rPr>
                <w:noProof/>
                <w:webHidden/>
              </w:rPr>
              <w:fldChar w:fldCharType="end"/>
            </w:r>
          </w:hyperlink>
        </w:p>
        <w:p w14:paraId="61B58A6B" w14:textId="296A393A" w:rsidR="00546466" w:rsidRDefault="00546466">
          <w:pPr>
            <w:pStyle w:val="TOC2"/>
            <w:tabs>
              <w:tab w:val="left" w:pos="880"/>
              <w:tab w:val="right" w:leader="dot" w:pos="9350"/>
            </w:tabs>
            <w:rPr>
              <w:rFonts w:eastAsiaTheme="minorEastAsia"/>
              <w:noProof/>
              <w:kern w:val="2"/>
              <w14:ligatures w14:val="standardContextual"/>
            </w:rPr>
          </w:pPr>
          <w:hyperlink w:anchor="_Toc161415366" w:history="1">
            <w:r w:rsidRPr="007F2BDB">
              <w:rPr>
                <w:rStyle w:val="Hyperlink"/>
                <w:rFonts w:eastAsia="Times New Roman"/>
                <w:noProof/>
              </w:rPr>
              <w:t>1.3.</w:t>
            </w:r>
            <w:r>
              <w:rPr>
                <w:rFonts w:eastAsiaTheme="minorEastAsia"/>
                <w:noProof/>
                <w:kern w:val="2"/>
                <w14:ligatures w14:val="standardContextual"/>
              </w:rPr>
              <w:tab/>
            </w:r>
            <w:r w:rsidRPr="007F2BDB">
              <w:rPr>
                <w:rStyle w:val="Hyperlink"/>
                <w:rFonts w:eastAsia="Times New Roman"/>
                <w:noProof/>
              </w:rPr>
              <w:t>VUP</w:t>
            </w:r>
            <w:r>
              <w:rPr>
                <w:noProof/>
                <w:webHidden/>
              </w:rPr>
              <w:tab/>
            </w:r>
            <w:r>
              <w:rPr>
                <w:noProof/>
                <w:webHidden/>
              </w:rPr>
              <w:fldChar w:fldCharType="begin"/>
            </w:r>
            <w:r>
              <w:rPr>
                <w:noProof/>
                <w:webHidden/>
              </w:rPr>
              <w:instrText xml:space="preserve"> PAGEREF _Toc161415366 \h </w:instrText>
            </w:r>
            <w:r>
              <w:rPr>
                <w:noProof/>
                <w:webHidden/>
              </w:rPr>
            </w:r>
            <w:r>
              <w:rPr>
                <w:noProof/>
                <w:webHidden/>
              </w:rPr>
              <w:fldChar w:fldCharType="separate"/>
            </w:r>
            <w:r>
              <w:rPr>
                <w:noProof/>
                <w:webHidden/>
              </w:rPr>
              <w:t>6</w:t>
            </w:r>
            <w:r>
              <w:rPr>
                <w:noProof/>
                <w:webHidden/>
              </w:rPr>
              <w:fldChar w:fldCharType="end"/>
            </w:r>
          </w:hyperlink>
        </w:p>
        <w:p w14:paraId="0C8C21C9" w14:textId="3DBE3457" w:rsidR="00546466" w:rsidRDefault="00546466">
          <w:pPr>
            <w:pStyle w:val="TOC2"/>
            <w:tabs>
              <w:tab w:val="left" w:pos="880"/>
              <w:tab w:val="right" w:leader="dot" w:pos="9350"/>
            </w:tabs>
            <w:rPr>
              <w:rFonts w:eastAsiaTheme="minorEastAsia"/>
              <w:noProof/>
              <w:kern w:val="2"/>
              <w14:ligatures w14:val="standardContextual"/>
            </w:rPr>
          </w:pPr>
          <w:hyperlink w:anchor="_Toc161415367" w:history="1">
            <w:r w:rsidRPr="007F2BDB">
              <w:rPr>
                <w:rStyle w:val="Hyperlink"/>
                <w:rFonts w:eastAsia="Times New Roman"/>
                <w:noProof/>
              </w:rPr>
              <w:t>1.4.</w:t>
            </w:r>
            <w:r>
              <w:rPr>
                <w:rFonts w:eastAsiaTheme="minorEastAsia"/>
                <w:noProof/>
                <w:kern w:val="2"/>
                <w14:ligatures w14:val="standardContextual"/>
              </w:rPr>
              <w:tab/>
            </w:r>
            <w:r w:rsidRPr="007F2BDB">
              <w:rPr>
                <w:rStyle w:val="Hyperlink"/>
                <w:rFonts w:eastAsia="Times New Roman"/>
                <w:noProof/>
              </w:rPr>
              <w:t>VAOE</w:t>
            </w:r>
            <w:r>
              <w:rPr>
                <w:noProof/>
                <w:webHidden/>
              </w:rPr>
              <w:tab/>
            </w:r>
            <w:r>
              <w:rPr>
                <w:noProof/>
                <w:webHidden/>
              </w:rPr>
              <w:fldChar w:fldCharType="begin"/>
            </w:r>
            <w:r>
              <w:rPr>
                <w:noProof/>
                <w:webHidden/>
              </w:rPr>
              <w:instrText xml:space="preserve"> PAGEREF _Toc161415367 \h </w:instrText>
            </w:r>
            <w:r>
              <w:rPr>
                <w:noProof/>
                <w:webHidden/>
              </w:rPr>
            </w:r>
            <w:r>
              <w:rPr>
                <w:noProof/>
                <w:webHidden/>
              </w:rPr>
              <w:fldChar w:fldCharType="separate"/>
            </w:r>
            <w:r>
              <w:rPr>
                <w:noProof/>
                <w:webHidden/>
              </w:rPr>
              <w:t>7</w:t>
            </w:r>
            <w:r>
              <w:rPr>
                <w:noProof/>
                <w:webHidden/>
              </w:rPr>
              <w:fldChar w:fldCharType="end"/>
            </w:r>
          </w:hyperlink>
        </w:p>
        <w:p w14:paraId="76F8D99C" w14:textId="02FC67DD" w:rsidR="00546466" w:rsidRDefault="00546466">
          <w:pPr>
            <w:pStyle w:val="TOC2"/>
            <w:tabs>
              <w:tab w:val="left" w:pos="880"/>
              <w:tab w:val="right" w:leader="dot" w:pos="9350"/>
            </w:tabs>
            <w:rPr>
              <w:rFonts w:eastAsiaTheme="minorEastAsia"/>
              <w:noProof/>
              <w:kern w:val="2"/>
              <w14:ligatures w14:val="standardContextual"/>
            </w:rPr>
          </w:pPr>
          <w:hyperlink w:anchor="_Toc161415368" w:history="1">
            <w:r w:rsidRPr="007F2BDB">
              <w:rPr>
                <w:rStyle w:val="Hyperlink"/>
                <w:rFonts w:eastAsia="Times New Roman"/>
                <w:noProof/>
              </w:rPr>
              <w:t>1.5.</w:t>
            </w:r>
            <w:r>
              <w:rPr>
                <w:rFonts w:eastAsiaTheme="minorEastAsia"/>
                <w:noProof/>
                <w:kern w:val="2"/>
                <w14:ligatures w14:val="standardContextual"/>
              </w:rPr>
              <w:tab/>
            </w:r>
            <w:r w:rsidRPr="007F2BDB">
              <w:rPr>
                <w:rStyle w:val="Hyperlink"/>
                <w:rFonts w:eastAsia="Times New Roman"/>
                <w:noProof/>
              </w:rPr>
              <w:t>NSRL</w:t>
            </w:r>
            <w:r>
              <w:rPr>
                <w:noProof/>
                <w:webHidden/>
              </w:rPr>
              <w:tab/>
            </w:r>
            <w:r>
              <w:rPr>
                <w:noProof/>
                <w:webHidden/>
              </w:rPr>
              <w:fldChar w:fldCharType="begin"/>
            </w:r>
            <w:r>
              <w:rPr>
                <w:noProof/>
                <w:webHidden/>
              </w:rPr>
              <w:instrText xml:space="preserve"> PAGEREF _Toc161415368 \h </w:instrText>
            </w:r>
            <w:r>
              <w:rPr>
                <w:noProof/>
                <w:webHidden/>
              </w:rPr>
            </w:r>
            <w:r>
              <w:rPr>
                <w:noProof/>
                <w:webHidden/>
              </w:rPr>
              <w:fldChar w:fldCharType="separate"/>
            </w:r>
            <w:r>
              <w:rPr>
                <w:noProof/>
                <w:webHidden/>
              </w:rPr>
              <w:t>8</w:t>
            </w:r>
            <w:r>
              <w:rPr>
                <w:noProof/>
                <w:webHidden/>
              </w:rPr>
              <w:fldChar w:fldCharType="end"/>
            </w:r>
          </w:hyperlink>
        </w:p>
        <w:p w14:paraId="43C11B5A" w14:textId="4B283D5C" w:rsidR="00546466" w:rsidRDefault="00546466">
          <w:pPr>
            <w:pStyle w:val="TOC2"/>
            <w:tabs>
              <w:tab w:val="left" w:pos="880"/>
              <w:tab w:val="right" w:leader="dot" w:pos="9350"/>
            </w:tabs>
            <w:rPr>
              <w:rFonts w:eastAsiaTheme="minorEastAsia"/>
              <w:noProof/>
              <w:kern w:val="2"/>
              <w14:ligatures w14:val="standardContextual"/>
            </w:rPr>
          </w:pPr>
          <w:hyperlink w:anchor="_Toc161415369" w:history="1">
            <w:r w:rsidRPr="007F2BDB">
              <w:rPr>
                <w:rStyle w:val="Hyperlink"/>
                <w:rFonts w:eastAsia="Times New Roman"/>
                <w:noProof/>
              </w:rPr>
              <w:t>1.6.</w:t>
            </w:r>
            <w:r>
              <w:rPr>
                <w:rFonts w:eastAsiaTheme="minorEastAsia"/>
                <w:noProof/>
                <w:kern w:val="2"/>
                <w14:ligatures w14:val="standardContextual"/>
              </w:rPr>
              <w:tab/>
            </w:r>
            <w:r w:rsidRPr="007F2BDB">
              <w:rPr>
                <w:rStyle w:val="Hyperlink"/>
                <w:rFonts w:eastAsia="Times New Roman"/>
                <w:noProof/>
              </w:rPr>
              <w:t>ALG</w:t>
            </w:r>
            <w:r>
              <w:rPr>
                <w:noProof/>
                <w:webHidden/>
              </w:rPr>
              <w:tab/>
            </w:r>
            <w:r>
              <w:rPr>
                <w:noProof/>
                <w:webHidden/>
              </w:rPr>
              <w:fldChar w:fldCharType="begin"/>
            </w:r>
            <w:r>
              <w:rPr>
                <w:noProof/>
                <w:webHidden/>
              </w:rPr>
              <w:instrText xml:space="preserve"> PAGEREF _Toc161415369 \h </w:instrText>
            </w:r>
            <w:r>
              <w:rPr>
                <w:noProof/>
                <w:webHidden/>
              </w:rPr>
            </w:r>
            <w:r>
              <w:rPr>
                <w:noProof/>
                <w:webHidden/>
              </w:rPr>
              <w:fldChar w:fldCharType="separate"/>
            </w:r>
            <w:r>
              <w:rPr>
                <w:noProof/>
                <w:webHidden/>
              </w:rPr>
              <w:t>9</w:t>
            </w:r>
            <w:r>
              <w:rPr>
                <w:noProof/>
                <w:webHidden/>
              </w:rPr>
              <w:fldChar w:fldCharType="end"/>
            </w:r>
          </w:hyperlink>
        </w:p>
        <w:p w14:paraId="624311E7" w14:textId="61CCDD89" w:rsidR="00546466" w:rsidRDefault="00546466">
          <w:pPr>
            <w:pStyle w:val="TOC2"/>
            <w:tabs>
              <w:tab w:val="left" w:pos="880"/>
              <w:tab w:val="right" w:leader="dot" w:pos="9350"/>
            </w:tabs>
            <w:rPr>
              <w:rFonts w:eastAsiaTheme="minorEastAsia"/>
              <w:noProof/>
              <w:kern w:val="2"/>
              <w14:ligatures w14:val="standardContextual"/>
            </w:rPr>
          </w:pPr>
          <w:hyperlink w:anchor="_Toc161415370" w:history="1">
            <w:r w:rsidRPr="007F2BDB">
              <w:rPr>
                <w:rStyle w:val="Hyperlink"/>
                <w:rFonts w:eastAsia="Times New Roman"/>
                <w:noProof/>
              </w:rPr>
              <w:t>1.7.</w:t>
            </w:r>
            <w:r>
              <w:rPr>
                <w:rFonts w:eastAsiaTheme="minorEastAsia"/>
                <w:noProof/>
                <w:kern w:val="2"/>
                <w14:ligatures w14:val="standardContextual"/>
              </w:rPr>
              <w:tab/>
            </w:r>
            <w:r w:rsidRPr="007F2BDB">
              <w:rPr>
                <w:rStyle w:val="Hyperlink"/>
                <w:rFonts w:eastAsia="Times New Roman"/>
                <w:noProof/>
              </w:rPr>
              <w:t>OEUP</w:t>
            </w:r>
            <w:r>
              <w:rPr>
                <w:noProof/>
                <w:webHidden/>
              </w:rPr>
              <w:tab/>
            </w:r>
            <w:r>
              <w:rPr>
                <w:noProof/>
                <w:webHidden/>
              </w:rPr>
              <w:fldChar w:fldCharType="begin"/>
            </w:r>
            <w:r>
              <w:rPr>
                <w:noProof/>
                <w:webHidden/>
              </w:rPr>
              <w:instrText xml:space="preserve"> PAGEREF _Toc161415370 \h </w:instrText>
            </w:r>
            <w:r>
              <w:rPr>
                <w:noProof/>
                <w:webHidden/>
              </w:rPr>
            </w:r>
            <w:r>
              <w:rPr>
                <w:noProof/>
                <w:webHidden/>
              </w:rPr>
              <w:fldChar w:fldCharType="separate"/>
            </w:r>
            <w:r>
              <w:rPr>
                <w:noProof/>
                <w:webHidden/>
              </w:rPr>
              <w:t>10</w:t>
            </w:r>
            <w:r>
              <w:rPr>
                <w:noProof/>
                <w:webHidden/>
              </w:rPr>
              <w:fldChar w:fldCharType="end"/>
            </w:r>
          </w:hyperlink>
        </w:p>
        <w:p w14:paraId="4212AC53" w14:textId="1AA17DA1" w:rsidR="00546466" w:rsidRDefault="00546466">
          <w:pPr>
            <w:pStyle w:val="TOC2"/>
            <w:tabs>
              <w:tab w:val="left" w:pos="880"/>
              <w:tab w:val="right" w:leader="dot" w:pos="9350"/>
            </w:tabs>
            <w:rPr>
              <w:rFonts w:eastAsiaTheme="minorEastAsia"/>
              <w:noProof/>
              <w:kern w:val="2"/>
              <w14:ligatures w14:val="standardContextual"/>
            </w:rPr>
          </w:pPr>
          <w:hyperlink w:anchor="_Toc161415371" w:history="1">
            <w:r w:rsidRPr="007F2BDB">
              <w:rPr>
                <w:rStyle w:val="Hyperlink"/>
                <w:rFonts w:eastAsia="Times New Roman"/>
                <w:noProof/>
              </w:rPr>
              <w:t>1.8.</w:t>
            </w:r>
            <w:r>
              <w:rPr>
                <w:rFonts w:eastAsiaTheme="minorEastAsia"/>
                <w:noProof/>
                <w:kern w:val="2"/>
                <w14:ligatures w14:val="standardContextual"/>
              </w:rPr>
              <w:tab/>
            </w:r>
            <w:r w:rsidRPr="007F2BDB">
              <w:rPr>
                <w:rStyle w:val="Hyperlink"/>
                <w:rFonts w:eastAsia="Times New Roman"/>
                <w:noProof/>
              </w:rPr>
              <w:t>RBND</w:t>
            </w:r>
            <w:r>
              <w:rPr>
                <w:noProof/>
                <w:webHidden/>
              </w:rPr>
              <w:tab/>
            </w:r>
            <w:r>
              <w:rPr>
                <w:noProof/>
                <w:webHidden/>
              </w:rPr>
              <w:fldChar w:fldCharType="begin"/>
            </w:r>
            <w:r>
              <w:rPr>
                <w:noProof/>
                <w:webHidden/>
              </w:rPr>
              <w:instrText xml:space="preserve"> PAGEREF _Toc161415371 \h </w:instrText>
            </w:r>
            <w:r>
              <w:rPr>
                <w:noProof/>
                <w:webHidden/>
              </w:rPr>
            </w:r>
            <w:r>
              <w:rPr>
                <w:noProof/>
                <w:webHidden/>
              </w:rPr>
              <w:fldChar w:fldCharType="separate"/>
            </w:r>
            <w:r>
              <w:rPr>
                <w:noProof/>
                <w:webHidden/>
              </w:rPr>
              <w:t>11</w:t>
            </w:r>
            <w:r>
              <w:rPr>
                <w:noProof/>
                <w:webHidden/>
              </w:rPr>
              <w:fldChar w:fldCharType="end"/>
            </w:r>
          </w:hyperlink>
        </w:p>
        <w:p w14:paraId="6169CB16" w14:textId="7018BA19" w:rsidR="00546466" w:rsidRDefault="00546466">
          <w:pPr>
            <w:pStyle w:val="TOC2"/>
            <w:tabs>
              <w:tab w:val="left" w:pos="880"/>
              <w:tab w:val="right" w:leader="dot" w:pos="9350"/>
            </w:tabs>
            <w:rPr>
              <w:rFonts w:eastAsiaTheme="minorEastAsia"/>
              <w:noProof/>
              <w:kern w:val="2"/>
              <w14:ligatures w14:val="standardContextual"/>
            </w:rPr>
          </w:pPr>
          <w:hyperlink w:anchor="_Toc161415372" w:history="1">
            <w:r w:rsidRPr="007F2BDB">
              <w:rPr>
                <w:rStyle w:val="Hyperlink"/>
                <w:rFonts w:eastAsia="Times New Roman"/>
                <w:noProof/>
              </w:rPr>
              <w:t>1.9.</w:t>
            </w:r>
            <w:r>
              <w:rPr>
                <w:rFonts w:eastAsiaTheme="minorEastAsia"/>
                <w:noProof/>
                <w:kern w:val="2"/>
                <w14:ligatures w14:val="standardContextual"/>
              </w:rPr>
              <w:tab/>
            </w:r>
            <w:r w:rsidRPr="007F2BDB">
              <w:rPr>
                <w:rStyle w:val="Hyperlink"/>
                <w:rFonts w:eastAsia="Times New Roman"/>
                <w:noProof/>
              </w:rPr>
              <w:t>PTSC</w:t>
            </w:r>
            <w:r>
              <w:rPr>
                <w:noProof/>
                <w:webHidden/>
              </w:rPr>
              <w:tab/>
            </w:r>
            <w:r>
              <w:rPr>
                <w:noProof/>
                <w:webHidden/>
              </w:rPr>
              <w:fldChar w:fldCharType="begin"/>
            </w:r>
            <w:r>
              <w:rPr>
                <w:noProof/>
                <w:webHidden/>
              </w:rPr>
              <w:instrText xml:space="preserve"> PAGEREF _Toc161415372 \h </w:instrText>
            </w:r>
            <w:r>
              <w:rPr>
                <w:noProof/>
                <w:webHidden/>
              </w:rPr>
            </w:r>
            <w:r>
              <w:rPr>
                <w:noProof/>
                <w:webHidden/>
              </w:rPr>
              <w:fldChar w:fldCharType="separate"/>
            </w:r>
            <w:r>
              <w:rPr>
                <w:noProof/>
                <w:webHidden/>
              </w:rPr>
              <w:t>13</w:t>
            </w:r>
            <w:r>
              <w:rPr>
                <w:noProof/>
                <w:webHidden/>
              </w:rPr>
              <w:fldChar w:fldCharType="end"/>
            </w:r>
          </w:hyperlink>
        </w:p>
        <w:p w14:paraId="32A0EA27" w14:textId="1732545C" w:rsidR="00546466" w:rsidRDefault="00546466">
          <w:pPr>
            <w:pStyle w:val="TOC2"/>
            <w:tabs>
              <w:tab w:val="left" w:pos="1100"/>
              <w:tab w:val="right" w:leader="dot" w:pos="9350"/>
            </w:tabs>
            <w:rPr>
              <w:rFonts w:eastAsiaTheme="minorEastAsia"/>
              <w:noProof/>
              <w:kern w:val="2"/>
              <w14:ligatures w14:val="standardContextual"/>
            </w:rPr>
          </w:pPr>
          <w:hyperlink w:anchor="_Toc161415373" w:history="1">
            <w:r w:rsidRPr="007F2BDB">
              <w:rPr>
                <w:rStyle w:val="Hyperlink"/>
                <w:rFonts w:eastAsia="Times New Roman"/>
                <w:noProof/>
              </w:rPr>
              <w:t>1.10.</w:t>
            </w:r>
            <w:r>
              <w:rPr>
                <w:rFonts w:eastAsiaTheme="minorEastAsia"/>
                <w:noProof/>
                <w:kern w:val="2"/>
                <w14:ligatures w14:val="standardContextual"/>
              </w:rPr>
              <w:tab/>
            </w:r>
            <w:r w:rsidRPr="007F2BDB">
              <w:rPr>
                <w:rStyle w:val="Hyperlink"/>
                <w:rFonts w:eastAsia="Times New Roman"/>
                <w:noProof/>
              </w:rPr>
              <w:t>UPDT</w:t>
            </w:r>
            <w:r>
              <w:rPr>
                <w:noProof/>
                <w:webHidden/>
              </w:rPr>
              <w:tab/>
            </w:r>
            <w:r>
              <w:rPr>
                <w:noProof/>
                <w:webHidden/>
              </w:rPr>
              <w:fldChar w:fldCharType="begin"/>
            </w:r>
            <w:r>
              <w:rPr>
                <w:noProof/>
                <w:webHidden/>
              </w:rPr>
              <w:instrText xml:space="preserve"> PAGEREF _Toc161415373 \h </w:instrText>
            </w:r>
            <w:r>
              <w:rPr>
                <w:noProof/>
                <w:webHidden/>
              </w:rPr>
            </w:r>
            <w:r>
              <w:rPr>
                <w:noProof/>
                <w:webHidden/>
              </w:rPr>
              <w:fldChar w:fldCharType="separate"/>
            </w:r>
            <w:r>
              <w:rPr>
                <w:noProof/>
                <w:webHidden/>
              </w:rPr>
              <w:t>15</w:t>
            </w:r>
            <w:r>
              <w:rPr>
                <w:noProof/>
                <w:webHidden/>
              </w:rPr>
              <w:fldChar w:fldCharType="end"/>
            </w:r>
          </w:hyperlink>
        </w:p>
        <w:p w14:paraId="6243A7DE" w14:textId="470E3DF8" w:rsidR="00546466" w:rsidRDefault="00546466">
          <w:pPr>
            <w:pStyle w:val="TOC2"/>
            <w:tabs>
              <w:tab w:val="left" w:pos="1100"/>
              <w:tab w:val="right" w:leader="dot" w:pos="9350"/>
            </w:tabs>
            <w:rPr>
              <w:rFonts w:eastAsiaTheme="minorEastAsia"/>
              <w:noProof/>
              <w:kern w:val="2"/>
              <w14:ligatures w14:val="standardContextual"/>
            </w:rPr>
          </w:pPr>
          <w:hyperlink w:anchor="_Toc161415374" w:history="1">
            <w:r w:rsidRPr="007F2BDB">
              <w:rPr>
                <w:rStyle w:val="Hyperlink"/>
                <w:rFonts w:eastAsia="Times New Roman"/>
                <w:noProof/>
              </w:rPr>
              <w:t>1.11.</w:t>
            </w:r>
            <w:r>
              <w:rPr>
                <w:rFonts w:eastAsiaTheme="minorEastAsia"/>
                <w:noProof/>
                <w:kern w:val="2"/>
                <w14:ligatures w14:val="standardContextual"/>
              </w:rPr>
              <w:tab/>
            </w:r>
            <w:r w:rsidRPr="007F2BDB">
              <w:rPr>
                <w:rStyle w:val="Hyperlink"/>
                <w:rFonts w:eastAsia="Times New Roman"/>
                <w:noProof/>
              </w:rPr>
              <w:t>CVE</w:t>
            </w:r>
            <w:r>
              <w:rPr>
                <w:noProof/>
                <w:webHidden/>
              </w:rPr>
              <w:tab/>
            </w:r>
            <w:r>
              <w:rPr>
                <w:noProof/>
                <w:webHidden/>
              </w:rPr>
              <w:fldChar w:fldCharType="begin"/>
            </w:r>
            <w:r>
              <w:rPr>
                <w:noProof/>
                <w:webHidden/>
              </w:rPr>
              <w:instrText xml:space="preserve"> PAGEREF _Toc161415374 \h </w:instrText>
            </w:r>
            <w:r>
              <w:rPr>
                <w:noProof/>
                <w:webHidden/>
              </w:rPr>
            </w:r>
            <w:r>
              <w:rPr>
                <w:noProof/>
                <w:webHidden/>
              </w:rPr>
              <w:fldChar w:fldCharType="separate"/>
            </w:r>
            <w:r>
              <w:rPr>
                <w:noProof/>
                <w:webHidden/>
              </w:rPr>
              <w:t>17</w:t>
            </w:r>
            <w:r>
              <w:rPr>
                <w:noProof/>
                <w:webHidden/>
              </w:rPr>
              <w:fldChar w:fldCharType="end"/>
            </w:r>
          </w:hyperlink>
        </w:p>
        <w:p w14:paraId="588BD759" w14:textId="03A4A006" w:rsidR="00546466" w:rsidRDefault="00546466">
          <w:pPr>
            <w:pStyle w:val="TOC2"/>
            <w:tabs>
              <w:tab w:val="left" w:pos="1100"/>
              <w:tab w:val="right" w:leader="dot" w:pos="9350"/>
            </w:tabs>
            <w:rPr>
              <w:rFonts w:eastAsiaTheme="minorEastAsia"/>
              <w:noProof/>
              <w:kern w:val="2"/>
              <w14:ligatures w14:val="standardContextual"/>
            </w:rPr>
          </w:pPr>
          <w:hyperlink w:anchor="_Toc161415375" w:history="1">
            <w:r w:rsidRPr="007F2BDB">
              <w:rPr>
                <w:rStyle w:val="Hyperlink"/>
                <w:rFonts w:eastAsia="Times New Roman"/>
                <w:noProof/>
              </w:rPr>
              <w:t>1.12.</w:t>
            </w:r>
            <w:r>
              <w:rPr>
                <w:rFonts w:eastAsiaTheme="minorEastAsia"/>
                <w:noProof/>
                <w:kern w:val="2"/>
                <w14:ligatures w14:val="standardContextual"/>
              </w:rPr>
              <w:tab/>
            </w:r>
            <w:r w:rsidRPr="007F2BDB">
              <w:rPr>
                <w:rStyle w:val="Hyperlink"/>
                <w:rFonts w:eastAsia="Times New Roman"/>
                <w:noProof/>
              </w:rPr>
              <w:t>TRNS</w:t>
            </w:r>
            <w:r>
              <w:rPr>
                <w:noProof/>
                <w:webHidden/>
              </w:rPr>
              <w:tab/>
            </w:r>
            <w:r>
              <w:rPr>
                <w:noProof/>
                <w:webHidden/>
              </w:rPr>
              <w:fldChar w:fldCharType="begin"/>
            </w:r>
            <w:r>
              <w:rPr>
                <w:noProof/>
                <w:webHidden/>
              </w:rPr>
              <w:instrText xml:space="preserve"> PAGEREF _Toc161415375 \h </w:instrText>
            </w:r>
            <w:r>
              <w:rPr>
                <w:noProof/>
                <w:webHidden/>
              </w:rPr>
            </w:r>
            <w:r>
              <w:rPr>
                <w:noProof/>
                <w:webHidden/>
              </w:rPr>
              <w:fldChar w:fldCharType="separate"/>
            </w:r>
            <w:r>
              <w:rPr>
                <w:noProof/>
                <w:webHidden/>
              </w:rPr>
              <w:t>19</w:t>
            </w:r>
            <w:r>
              <w:rPr>
                <w:noProof/>
                <w:webHidden/>
              </w:rPr>
              <w:fldChar w:fldCharType="end"/>
            </w:r>
          </w:hyperlink>
        </w:p>
        <w:p w14:paraId="07D15A29" w14:textId="7A788738" w:rsidR="00546466" w:rsidRDefault="00546466">
          <w:pPr>
            <w:pStyle w:val="TOC2"/>
            <w:tabs>
              <w:tab w:val="left" w:pos="1100"/>
              <w:tab w:val="right" w:leader="dot" w:pos="9350"/>
            </w:tabs>
            <w:rPr>
              <w:rFonts w:eastAsiaTheme="minorEastAsia"/>
              <w:noProof/>
              <w:kern w:val="2"/>
              <w14:ligatures w14:val="standardContextual"/>
            </w:rPr>
          </w:pPr>
          <w:hyperlink w:anchor="_Toc161415376" w:history="1">
            <w:r w:rsidRPr="007F2BDB">
              <w:rPr>
                <w:rStyle w:val="Hyperlink"/>
                <w:rFonts w:eastAsia="Times New Roman"/>
                <w:noProof/>
              </w:rPr>
              <w:t>1.13.</w:t>
            </w:r>
            <w:r>
              <w:rPr>
                <w:rFonts w:eastAsiaTheme="minorEastAsia"/>
                <w:noProof/>
                <w:kern w:val="2"/>
                <w14:ligatures w14:val="standardContextual"/>
              </w:rPr>
              <w:tab/>
            </w:r>
            <w:r w:rsidRPr="007F2BDB">
              <w:rPr>
                <w:rStyle w:val="Hyperlink"/>
                <w:rFonts w:eastAsia="Times New Roman"/>
                <w:noProof/>
              </w:rPr>
              <w:t>PHYS</w:t>
            </w:r>
            <w:r>
              <w:rPr>
                <w:noProof/>
                <w:webHidden/>
              </w:rPr>
              <w:tab/>
            </w:r>
            <w:r>
              <w:rPr>
                <w:noProof/>
                <w:webHidden/>
              </w:rPr>
              <w:fldChar w:fldCharType="begin"/>
            </w:r>
            <w:r>
              <w:rPr>
                <w:noProof/>
                <w:webHidden/>
              </w:rPr>
              <w:instrText xml:space="preserve"> PAGEREF _Toc161415376 \h </w:instrText>
            </w:r>
            <w:r>
              <w:rPr>
                <w:noProof/>
                <w:webHidden/>
              </w:rPr>
            </w:r>
            <w:r>
              <w:rPr>
                <w:noProof/>
                <w:webHidden/>
              </w:rPr>
              <w:fldChar w:fldCharType="separate"/>
            </w:r>
            <w:r>
              <w:rPr>
                <w:noProof/>
                <w:webHidden/>
              </w:rPr>
              <w:t>24</w:t>
            </w:r>
            <w:r>
              <w:rPr>
                <w:noProof/>
                <w:webHidden/>
              </w:rPr>
              <w:fldChar w:fldCharType="end"/>
            </w:r>
          </w:hyperlink>
        </w:p>
        <w:p w14:paraId="057C8ECC" w14:textId="3ECD7BF7" w:rsidR="00546466" w:rsidRDefault="00546466">
          <w:pPr>
            <w:pStyle w:val="TOC1"/>
            <w:tabs>
              <w:tab w:val="left" w:pos="440"/>
              <w:tab w:val="right" w:leader="dot" w:pos="9350"/>
            </w:tabs>
            <w:rPr>
              <w:rFonts w:eastAsiaTheme="minorEastAsia"/>
              <w:noProof/>
              <w:kern w:val="2"/>
              <w14:ligatures w14:val="standardContextual"/>
            </w:rPr>
          </w:pPr>
          <w:hyperlink w:anchor="_Toc161415377" w:history="1">
            <w:r w:rsidRPr="007F2BDB">
              <w:rPr>
                <w:rStyle w:val="Hyperlink"/>
                <w:rFonts w:ascii="Times New Roman" w:eastAsia="Times New Roman" w:hAnsi="Times New Roman" w:cs="Times New Roman"/>
                <w:noProof/>
              </w:rPr>
              <w:t>2.</w:t>
            </w:r>
            <w:r>
              <w:rPr>
                <w:rFonts w:eastAsiaTheme="minorEastAsia"/>
                <w:noProof/>
                <w:kern w:val="2"/>
                <w14:ligatures w14:val="standardContextual"/>
              </w:rPr>
              <w:tab/>
            </w:r>
            <w:r w:rsidRPr="007F2BDB">
              <w:rPr>
                <w:rStyle w:val="Hyperlink"/>
                <w:rFonts w:ascii="Times New Roman" w:eastAsia="Times New Roman" w:hAnsi="Times New Roman" w:cs="Times New Roman"/>
                <w:noProof/>
              </w:rPr>
              <w:t>Certificate Modification Tables</w:t>
            </w:r>
            <w:r>
              <w:rPr>
                <w:noProof/>
                <w:webHidden/>
              </w:rPr>
              <w:tab/>
            </w:r>
            <w:r>
              <w:rPr>
                <w:noProof/>
                <w:webHidden/>
              </w:rPr>
              <w:fldChar w:fldCharType="begin"/>
            </w:r>
            <w:r>
              <w:rPr>
                <w:noProof/>
                <w:webHidden/>
              </w:rPr>
              <w:instrText xml:space="preserve"> PAGEREF _Toc161415377 \h </w:instrText>
            </w:r>
            <w:r>
              <w:rPr>
                <w:noProof/>
                <w:webHidden/>
              </w:rPr>
            </w:r>
            <w:r>
              <w:rPr>
                <w:noProof/>
                <w:webHidden/>
              </w:rPr>
              <w:fldChar w:fldCharType="separate"/>
            </w:r>
            <w:r>
              <w:rPr>
                <w:noProof/>
                <w:webHidden/>
              </w:rPr>
              <w:t>25</w:t>
            </w:r>
            <w:r>
              <w:rPr>
                <w:noProof/>
                <w:webHidden/>
              </w:rPr>
              <w:fldChar w:fldCharType="end"/>
            </w:r>
          </w:hyperlink>
        </w:p>
        <w:p w14:paraId="167EC88E" w14:textId="2A26894A" w:rsidR="00546466" w:rsidRDefault="00546466">
          <w:pPr>
            <w:pStyle w:val="TOC1"/>
            <w:tabs>
              <w:tab w:val="left" w:pos="440"/>
              <w:tab w:val="right" w:leader="dot" w:pos="9350"/>
            </w:tabs>
            <w:rPr>
              <w:rFonts w:eastAsiaTheme="minorEastAsia"/>
              <w:noProof/>
              <w:kern w:val="2"/>
              <w14:ligatures w14:val="standardContextual"/>
            </w:rPr>
          </w:pPr>
          <w:hyperlink w:anchor="_Toc161415378" w:history="1">
            <w:r w:rsidRPr="007F2BDB">
              <w:rPr>
                <w:rStyle w:val="Hyperlink"/>
                <w:rFonts w:ascii="Times New Roman" w:eastAsia="Times New Roman" w:hAnsi="Times New Roman" w:cs="Times New Roman"/>
                <w:noProof/>
              </w:rPr>
              <w:t>3.</w:t>
            </w:r>
            <w:r>
              <w:rPr>
                <w:rFonts w:eastAsiaTheme="minorEastAsia"/>
                <w:noProof/>
                <w:kern w:val="2"/>
                <w14:ligatures w14:val="standardContextual"/>
              </w:rPr>
              <w:tab/>
            </w:r>
            <w:r w:rsidRPr="007F2BDB">
              <w:rPr>
                <w:rStyle w:val="Hyperlink"/>
                <w:rFonts w:ascii="Times New Roman" w:eastAsia="Times New Roman" w:hAnsi="Times New Roman" w:cs="Times New Roman"/>
                <w:noProof/>
              </w:rPr>
              <w:t>Affected TEs and Security Policy Changes</w:t>
            </w:r>
            <w:r>
              <w:rPr>
                <w:noProof/>
                <w:webHidden/>
              </w:rPr>
              <w:tab/>
            </w:r>
            <w:r>
              <w:rPr>
                <w:noProof/>
                <w:webHidden/>
              </w:rPr>
              <w:fldChar w:fldCharType="begin"/>
            </w:r>
            <w:r>
              <w:rPr>
                <w:noProof/>
                <w:webHidden/>
              </w:rPr>
              <w:instrText xml:space="preserve"> PAGEREF _Toc161415378 \h </w:instrText>
            </w:r>
            <w:r>
              <w:rPr>
                <w:noProof/>
                <w:webHidden/>
              </w:rPr>
            </w:r>
            <w:r>
              <w:rPr>
                <w:noProof/>
                <w:webHidden/>
              </w:rPr>
              <w:fldChar w:fldCharType="separate"/>
            </w:r>
            <w:r>
              <w:rPr>
                <w:noProof/>
                <w:webHidden/>
              </w:rPr>
              <w:t>26</w:t>
            </w:r>
            <w:r>
              <w:rPr>
                <w:noProof/>
                <w:webHidden/>
              </w:rPr>
              <w:fldChar w:fldCharType="end"/>
            </w:r>
          </w:hyperlink>
        </w:p>
        <w:p w14:paraId="18E0BC04" w14:textId="6246D5FB" w:rsidR="00546466" w:rsidRDefault="00546466">
          <w:pPr>
            <w:pStyle w:val="TOC1"/>
            <w:tabs>
              <w:tab w:val="left" w:pos="440"/>
              <w:tab w:val="right" w:leader="dot" w:pos="9350"/>
            </w:tabs>
            <w:rPr>
              <w:rFonts w:eastAsiaTheme="minorEastAsia"/>
              <w:noProof/>
              <w:kern w:val="2"/>
              <w14:ligatures w14:val="standardContextual"/>
            </w:rPr>
          </w:pPr>
          <w:hyperlink w:anchor="_Toc161415379" w:history="1">
            <w:r w:rsidRPr="007F2BDB">
              <w:rPr>
                <w:rStyle w:val="Hyperlink"/>
                <w:rFonts w:ascii="Times New Roman" w:eastAsia="Times New Roman" w:hAnsi="Times New Roman" w:cs="Times New Roman"/>
                <w:noProof/>
              </w:rPr>
              <w:t>4.</w:t>
            </w:r>
            <w:r>
              <w:rPr>
                <w:rFonts w:eastAsiaTheme="minorEastAsia"/>
                <w:noProof/>
                <w:kern w:val="2"/>
                <w14:ligatures w14:val="standardContextual"/>
              </w:rPr>
              <w:tab/>
            </w:r>
            <w:r w:rsidRPr="007F2BDB">
              <w:rPr>
                <w:rStyle w:val="Hyperlink"/>
                <w:rFonts w:ascii="Times New Roman" w:eastAsia="Times New Roman" w:hAnsi="Times New Roman" w:cs="Times New Roman"/>
                <w:noProof/>
              </w:rPr>
              <w:t>Predefined Regression Testing</w:t>
            </w:r>
            <w:r>
              <w:rPr>
                <w:noProof/>
                <w:webHidden/>
              </w:rPr>
              <w:tab/>
            </w:r>
            <w:r>
              <w:rPr>
                <w:noProof/>
                <w:webHidden/>
              </w:rPr>
              <w:fldChar w:fldCharType="begin"/>
            </w:r>
            <w:r>
              <w:rPr>
                <w:noProof/>
                <w:webHidden/>
              </w:rPr>
              <w:instrText xml:space="preserve"> PAGEREF _Toc161415379 \h </w:instrText>
            </w:r>
            <w:r>
              <w:rPr>
                <w:noProof/>
                <w:webHidden/>
              </w:rPr>
            </w:r>
            <w:r>
              <w:rPr>
                <w:noProof/>
                <w:webHidden/>
              </w:rPr>
              <w:fldChar w:fldCharType="separate"/>
            </w:r>
            <w:r>
              <w:rPr>
                <w:noProof/>
                <w:webHidden/>
              </w:rPr>
              <w:t>27</w:t>
            </w:r>
            <w:r>
              <w:rPr>
                <w:noProof/>
                <w:webHidden/>
              </w:rPr>
              <w:fldChar w:fldCharType="end"/>
            </w:r>
          </w:hyperlink>
        </w:p>
        <w:p w14:paraId="7F3DF856" w14:textId="0099A36C" w:rsidR="00530FA0" w:rsidRDefault="00530FA0">
          <w:r>
            <w:rPr>
              <w:b/>
              <w:bCs/>
              <w:noProof/>
            </w:rPr>
            <w:fldChar w:fldCharType="end"/>
          </w:r>
        </w:p>
      </w:sdtContent>
    </w:sdt>
    <w:p w14:paraId="64688467" w14:textId="23ED55C0" w:rsidR="00360F30" w:rsidRDefault="00530FA0" w:rsidP="00360F30">
      <w:pPr>
        <w:rPr>
          <w:rFonts w:ascii="Times New Roman" w:eastAsia="Times New Roman" w:hAnsi="Times New Roman" w:cs="Times New Roman"/>
        </w:rPr>
      </w:pPr>
      <w:r>
        <w:rPr>
          <w:rFonts w:ascii="Times New Roman" w:eastAsia="Times New Roman" w:hAnsi="Times New Roman" w:cs="Times New Roman"/>
        </w:rPr>
        <w:br w:type="page"/>
      </w:r>
    </w:p>
    <w:p w14:paraId="7A99A4B4" w14:textId="06B5B6D7" w:rsidR="00360F30" w:rsidRPr="00360F30" w:rsidRDefault="00360F30" w:rsidP="00360F30">
      <w:pPr>
        <w:rPr>
          <w:rFonts w:ascii="Times New Roman" w:eastAsia="Times New Roman" w:hAnsi="Times New Roman" w:cs="Times New Roman"/>
          <w:color w:val="2F5496" w:themeColor="accent1" w:themeShade="BF"/>
          <w:sz w:val="32"/>
          <w:szCs w:val="32"/>
        </w:rPr>
      </w:pPr>
      <w:r>
        <w:rPr>
          <w:rFonts w:ascii="Times New Roman" w:eastAsia="Times New Roman" w:hAnsi="Times New Roman" w:cs="Times New Roman"/>
          <w:sz w:val="20"/>
          <w:szCs w:val="20"/>
        </w:rPr>
        <w:lastRenderedPageBreak/>
        <w:t xml:space="preserve">CSTL </w:t>
      </w:r>
      <w:r w:rsidRPr="00DF54B3">
        <w:rPr>
          <w:rFonts w:ascii="Times New Roman" w:eastAsia="Times New Roman" w:hAnsi="Times New Roman" w:cs="Times New Roman"/>
          <w:b/>
          <w:bCs/>
          <w:color w:val="FF0000"/>
          <w:sz w:val="20"/>
          <w:szCs w:val="20"/>
        </w:rPr>
        <w:t>shall</w:t>
      </w:r>
      <w:r w:rsidRPr="00DF54B3">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fill in </w:t>
      </w:r>
      <w:r>
        <w:rPr>
          <w:rFonts w:ascii="Times New Roman" w:eastAsia="Times New Roman" w:hAnsi="Times New Roman" w:cs="Times New Roman"/>
          <w:sz w:val="20"/>
          <w:szCs w:val="20"/>
        </w:rPr>
        <w:t>all applicable tables</w:t>
      </w:r>
      <w:r w:rsidR="00090A9B">
        <w:rPr>
          <w:rFonts w:ascii="Times New Roman" w:eastAsia="Times New Roman" w:hAnsi="Times New Roman" w:cs="Times New Roman"/>
          <w:sz w:val="20"/>
          <w:szCs w:val="20"/>
        </w:rPr>
        <w:t xml:space="preserve"> under “</w:t>
      </w:r>
      <w:r w:rsidR="00090A9B" w:rsidRPr="00090A9B">
        <w:rPr>
          <w:rFonts w:ascii="Times New Roman" w:eastAsia="Times New Roman" w:hAnsi="Times New Roman" w:cs="Times New Roman"/>
          <w:sz w:val="20"/>
          <w:szCs w:val="20"/>
        </w:rPr>
        <w:t>CSTL Compliance evidence / justification</w:t>
      </w:r>
      <w:r w:rsidR="00090A9B">
        <w:rPr>
          <w:rFonts w:ascii="Times New Roman" w:eastAsia="Times New Roman" w:hAnsi="Times New Roman" w:cs="Times New Roman"/>
          <w:sz w:val="20"/>
          <w:szCs w:val="20"/>
        </w:rPr>
        <w:t xml:space="preserve">”. </w:t>
      </w:r>
    </w:p>
    <w:p w14:paraId="347B0973" w14:textId="4F51F8C2" w:rsidR="00036866" w:rsidRDefault="00EA73F4" w:rsidP="00EA1BF7">
      <w:pPr>
        <w:pStyle w:val="Heading1"/>
        <w:numPr>
          <w:ilvl w:val="0"/>
          <w:numId w:val="12"/>
        </w:numPr>
        <w:rPr>
          <w:rFonts w:ascii="Times New Roman" w:eastAsia="Times New Roman" w:hAnsi="Times New Roman" w:cs="Times New Roman"/>
        </w:rPr>
      </w:pPr>
      <w:bookmarkStart w:id="0" w:name="_Toc161415363"/>
      <w:r>
        <w:rPr>
          <w:rFonts w:ascii="Times New Roman" w:eastAsia="Times New Roman" w:hAnsi="Times New Roman" w:cs="Times New Roman"/>
        </w:rPr>
        <w:t>Submission Scenarios</w:t>
      </w:r>
      <w:bookmarkEnd w:id="0"/>
    </w:p>
    <w:p w14:paraId="793881BA" w14:textId="1BC3C874" w:rsidR="00FE1E0E" w:rsidRPr="0062004F" w:rsidRDefault="0062004F" w:rsidP="00FE1E0E">
      <w:pPr>
        <w:rPr>
          <w:rFonts w:ascii="Times New Roman" w:hAnsi="Times New Roman" w:cs="Times New Roman"/>
          <w:sz w:val="20"/>
          <w:szCs w:val="20"/>
        </w:rPr>
      </w:pPr>
      <w:r w:rsidRPr="0062004F">
        <w:rPr>
          <w:rFonts w:ascii="Times New Roman" w:hAnsi="Times New Roman" w:cs="Times New Roman"/>
          <w:sz w:val="20"/>
          <w:szCs w:val="20"/>
        </w:rPr>
        <w:t>Please review</w:t>
      </w:r>
      <w:r w:rsidR="00FE0387">
        <w:rPr>
          <w:rFonts w:ascii="Times New Roman" w:hAnsi="Times New Roman" w:cs="Times New Roman"/>
          <w:sz w:val="20"/>
          <w:szCs w:val="20"/>
        </w:rPr>
        <w:t xml:space="preserve"> the below tables and requirements within the</w:t>
      </w:r>
      <w:r w:rsidRPr="0062004F">
        <w:rPr>
          <w:rFonts w:ascii="Times New Roman" w:hAnsi="Times New Roman" w:cs="Times New Roman"/>
          <w:sz w:val="20"/>
          <w:szCs w:val="20"/>
        </w:rPr>
        <w:t xml:space="preserve"> context of the </w:t>
      </w:r>
      <w:r w:rsidRPr="0062004F">
        <w:rPr>
          <w:rFonts w:ascii="Times New Roman" w:hAnsi="Times New Roman" w:cs="Times New Roman"/>
          <w:sz w:val="20"/>
          <w:szCs w:val="20"/>
        </w:rPr>
        <w:t>FIPS 140-3 Management Manual Section 7.1</w:t>
      </w:r>
      <w:r w:rsidRPr="0062004F">
        <w:rPr>
          <w:rFonts w:ascii="Times New Roman" w:hAnsi="Times New Roman" w:cs="Times New Roman"/>
          <w:sz w:val="20"/>
          <w:szCs w:val="20"/>
        </w:rPr>
        <w:t xml:space="preserve"> requirements.</w:t>
      </w:r>
    </w:p>
    <w:p w14:paraId="0CC25320" w14:textId="633FBA24" w:rsidR="00EA73F4" w:rsidRPr="00EA73F4" w:rsidRDefault="00EA73F4" w:rsidP="00EA73F4">
      <w:pPr>
        <w:keepNext/>
        <w:keepLines/>
        <w:numPr>
          <w:ilvl w:val="1"/>
          <w:numId w:val="12"/>
        </w:numPr>
        <w:spacing w:before="120" w:after="120" w:line="240" w:lineRule="auto"/>
        <w:outlineLvl w:val="1"/>
        <w:rPr>
          <w:rFonts w:asciiTheme="majorHAnsi" w:eastAsia="Times New Roman" w:hAnsiTheme="majorHAnsi" w:cstheme="majorBidi"/>
          <w:color w:val="2F5496" w:themeColor="accent1" w:themeShade="BF"/>
          <w:sz w:val="26"/>
          <w:szCs w:val="26"/>
        </w:rPr>
      </w:pPr>
      <w:bookmarkStart w:id="1" w:name="_Toc161415364"/>
      <w:r>
        <w:rPr>
          <w:rFonts w:asciiTheme="majorHAnsi" w:eastAsia="Times New Roman" w:hAnsiTheme="majorHAnsi" w:cstheme="majorBidi"/>
          <w:color w:val="2F5496" w:themeColor="accent1" w:themeShade="BF"/>
          <w:sz w:val="26"/>
          <w:szCs w:val="26"/>
        </w:rPr>
        <w:t xml:space="preserve">Requirements for all </w:t>
      </w:r>
      <w:r w:rsidR="004B33B4">
        <w:rPr>
          <w:rFonts w:asciiTheme="majorHAnsi" w:eastAsia="Times New Roman" w:hAnsiTheme="majorHAnsi" w:cstheme="majorBidi"/>
          <w:color w:val="2F5496" w:themeColor="accent1" w:themeShade="BF"/>
          <w:sz w:val="26"/>
          <w:szCs w:val="26"/>
        </w:rPr>
        <w:t>revalidation</w:t>
      </w:r>
      <w:r w:rsidR="00546466">
        <w:rPr>
          <w:rFonts w:asciiTheme="majorHAnsi" w:eastAsia="Times New Roman" w:hAnsiTheme="majorHAnsi" w:cstheme="majorBidi"/>
          <w:color w:val="2F5496" w:themeColor="accent1" w:themeShade="BF"/>
          <w:sz w:val="26"/>
          <w:szCs w:val="26"/>
        </w:rPr>
        <w:t>s</w:t>
      </w:r>
      <w:bookmarkEnd w:id="1"/>
    </w:p>
    <w:p w14:paraId="0E400163" w14:textId="4D8A12B5" w:rsidR="00EC0FDF" w:rsidRDefault="00EC0FDF" w:rsidP="006A5562">
      <w:pPr>
        <w:spacing w:before="120" w:after="12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EC0FDF" w14:paraId="54581022" w14:textId="77777777" w:rsidTr="004A3162">
        <w:tc>
          <w:tcPr>
            <w:tcW w:w="4675" w:type="dxa"/>
            <w:shd w:val="clear" w:color="auto" w:fill="E7E6E6" w:themeFill="background2"/>
          </w:tcPr>
          <w:p w14:paraId="7B336714" w14:textId="77777777" w:rsidR="00EC0FDF" w:rsidRPr="00E2218C" w:rsidRDefault="00EC0FDF" w:rsidP="006A5562">
            <w:pPr>
              <w:spacing w:before="120" w:after="120"/>
              <w:rPr>
                <w:b/>
                <w:bCs/>
              </w:rPr>
            </w:pPr>
            <w:r w:rsidRPr="00E2218C">
              <w:rPr>
                <w:b/>
                <w:bCs/>
              </w:rPr>
              <w:t>Requirement</w:t>
            </w:r>
          </w:p>
        </w:tc>
        <w:tc>
          <w:tcPr>
            <w:tcW w:w="4675" w:type="dxa"/>
            <w:shd w:val="clear" w:color="auto" w:fill="E7E6E6" w:themeFill="background2"/>
          </w:tcPr>
          <w:p w14:paraId="7E065782" w14:textId="55CEE18A" w:rsidR="00EC0FDF" w:rsidRPr="00E2218C" w:rsidRDefault="00E30624" w:rsidP="006A5562">
            <w:pPr>
              <w:spacing w:before="120" w:after="120"/>
              <w:rPr>
                <w:b/>
                <w:bCs/>
              </w:rPr>
            </w:pPr>
            <w:r>
              <w:rPr>
                <w:b/>
                <w:bCs/>
              </w:rPr>
              <w:t xml:space="preserve">CSTL </w:t>
            </w:r>
            <w:r w:rsidR="00EC0FDF">
              <w:rPr>
                <w:b/>
                <w:bCs/>
              </w:rPr>
              <w:t>Compliance evidence / justification</w:t>
            </w:r>
          </w:p>
        </w:tc>
      </w:tr>
      <w:tr w:rsidR="00EC0FDF" w14:paraId="4B51B49B" w14:textId="77777777" w:rsidTr="004A3162">
        <w:tc>
          <w:tcPr>
            <w:tcW w:w="4675" w:type="dxa"/>
          </w:tcPr>
          <w:p w14:paraId="516FD692" w14:textId="4CA216E1" w:rsidR="00EC0FDF" w:rsidRDefault="00E02CB7" w:rsidP="006A5562">
            <w:pPr>
              <w:spacing w:before="120" w:after="120"/>
            </w:pPr>
            <w:r w:rsidRPr="000E45A0">
              <w:t xml:space="preserve">The purpose of the revalidation (scenario, objective, etc.) with reference to applicable guidance (e.g., </w:t>
            </w:r>
            <w:r w:rsidR="00634B55">
              <w:t>Section</w:t>
            </w:r>
            <w:r w:rsidR="00EB08DB">
              <w:t>(s)</w:t>
            </w:r>
            <w:r w:rsidR="00634B55">
              <w:t xml:space="preserve"> within </w:t>
            </w:r>
            <w:r w:rsidRPr="000E45A0">
              <w:t xml:space="preserve">Management Manual </w:t>
            </w:r>
            <w:r w:rsidR="00EB08DB">
              <w:t xml:space="preserve">Submission Scenarios </w:t>
            </w:r>
            <w:r w:rsidRPr="000E45A0">
              <w:t>7</w:t>
            </w:r>
            <w:r w:rsidR="00EB08DB">
              <w:t>.1</w:t>
            </w:r>
            <w:r w:rsidRPr="000E45A0">
              <w:t>).</w:t>
            </w:r>
          </w:p>
        </w:tc>
        <w:tc>
          <w:tcPr>
            <w:tcW w:w="4675" w:type="dxa"/>
          </w:tcPr>
          <w:p w14:paraId="4A87804C" w14:textId="77777777" w:rsidR="00EC0FDF" w:rsidRDefault="00EC0FDF" w:rsidP="006A5562">
            <w:pPr>
              <w:spacing w:before="120" w:after="120"/>
            </w:pPr>
          </w:p>
        </w:tc>
      </w:tr>
      <w:tr w:rsidR="00EC0FDF" w14:paraId="2F63CEEC" w14:textId="77777777" w:rsidTr="004A3162">
        <w:tc>
          <w:tcPr>
            <w:tcW w:w="4675" w:type="dxa"/>
          </w:tcPr>
          <w:p w14:paraId="188A85B6" w14:textId="188EA26A" w:rsidR="00EC0FDF" w:rsidRDefault="003848BF" w:rsidP="006A5562">
            <w:pPr>
              <w:spacing w:before="120" w:after="120"/>
            </w:pPr>
            <w:r>
              <w:t xml:space="preserve">The </w:t>
            </w:r>
            <w:r w:rsidR="00E02CB7" w:rsidRPr="003114A8">
              <w:t>CSTL is responsible for an independent evaluation of the impacts throughout the module requirements for any change and performs any testing needed prior to submission.</w:t>
            </w:r>
            <w:r w:rsidR="00E02CB7">
              <w:t xml:space="preserve">  </w:t>
            </w:r>
            <w:r w:rsidR="00E02CB7" w:rsidRPr="003114A8">
              <w:t xml:space="preserve">The CSTL </w:t>
            </w:r>
            <w:r w:rsidR="00E02CB7" w:rsidRPr="009F7304">
              <w:rPr>
                <w:b/>
                <w:bCs/>
                <w:color w:val="FF0000"/>
              </w:rPr>
              <w:t>shall</w:t>
            </w:r>
            <w:r w:rsidR="00E02CB7" w:rsidRPr="009F7304">
              <w:rPr>
                <w:color w:val="FF0000"/>
              </w:rPr>
              <w:t xml:space="preserve"> </w:t>
            </w:r>
            <w:r w:rsidR="00E02CB7" w:rsidRPr="003114A8">
              <w:t>address all affected TEs and the CSTL’s assessment.</w:t>
            </w:r>
          </w:p>
        </w:tc>
        <w:tc>
          <w:tcPr>
            <w:tcW w:w="4675" w:type="dxa"/>
          </w:tcPr>
          <w:p w14:paraId="15386412" w14:textId="77777777" w:rsidR="00EC0FDF" w:rsidRDefault="00EC0FDF" w:rsidP="006A5562">
            <w:pPr>
              <w:spacing w:before="120" w:after="120"/>
            </w:pPr>
          </w:p>
        </w:tc>
      </w:tr>
      <w:tr w:rsidR="00C77AAF" w14:paraId="547A477F" w14:textId="77777777" w:rsidTr="004A3162">
        <w:tc>
          <w:tcPr>
            <w:tcW w:w="4675" w:type="dxa"/>
          </w:tcPr>
          <w:p w14:paraId="0E056282" w14:textId="7A8CDB68" w:rsidR="00C77AAF" w:rsidRPr="000E45A0" w:rsidRDefault="00921D3A" w:rsidP="006A5562">
            <w:pPr>
              <w:spacing w:before="120" w:after="120"/>
            </w:pPr>
            <w:r>
              <w:t>Summary</w:t>
            </w:r>
            <w:r w:rsidR="00C77AAF" w:rsidRPr="000E45A0">
              <w:t xml:space="preserve"> of the modifications (e.g.</w:t>
            </w:r>
            <w:r w:rsidR="00AA115B">
              <w:t xml:space="preserve">, </w:t>
            </w:r>
            <w:r w:rsidR="00C77AAF" w:rsidRPr="000E45A0">
              <w:t>changes made to the module code, documentation, etc.)</w:t>
            </w:r>
            <w:r w:rsidR="00AA115B">
              <w:t>.</w:t>
            </w:r>
          </w:p>
        </w:tc>
        <w:tc>
          <w:tcPr>
            <w:tcW w:w="4675" w:type="dxa"/>
          </w:tcPr>
          <w:p w14:paraId="7FA0BCDC" w14:textId="77777777" w:rsidR="00C77AAF" w:rsidRDefault="00C77AAF" w:rsidP="006A5562">
            <w:pPr>
              <w:spacing w:before="120" w:after="120"/>
            </w:pPr>
          </w:p>
        </w:tc>
      </w:tr>
      <w:tr w:rsidR="00742D4B" w14:paraId="01FA616C" w14:textId="77777777" w:rsidTr="004A3162">
        <w:tc>
          <w:tcPr>
            <w:tcW w:w="4675" w:type="dxa"/>
          </w:tcPr>
          <w:p w14:paraId="779B2147" w14:textId="01D4D923" w:rsidR="00742D4B" w:rsidRDefault="00742D4B" w:rsidP="006A5562">
            <w:pPr>
              <w:spacing w:before="120" w:after="120"/>
            </w:pPr>
            <w:r>
              <w:t>I</w:t>
            </w:r>
            <w:r w:rsidRPr="000E45A0">
              <w:t xml:space="preserve">ndicate whether the modified cryptographic module replaces the previously validated module or adds to </w:t>
            </w:r>
            <w:r>
              <w:t>it</w:t>
            </w:r>
            <w:r w:rsidRPr="000E45A0">
              <w:t xml:space="preserve">. </w:t>
            </w:r>
          </w:p>
        </w:tc>
        <w:tc>
          <w:tcPr>
            <w:tcW w:w="4675" w:type="dxa"/>
          </w:tcPr>
          <w:p w14:paraId="15589289" w14:textId="77777777" w:rsidR="00742D4B" w:rsidRDefault="00742D4B" w:rsidP="006A5562">
            <w:pPr>
              <w:spacing w:before="120" w:after="120"/>
            </w:pPr>
          </w:p>
        </w:tc>
      </w:tr>
      <w:tr w:rsidR="00A36194" w14:paraId="7AC4572C" w14:textId="77777777" w:rsidTr="004A3162">
        <w:tc>
          <w:tcPr>
            <w:tcW w:w="4675" w:type="dxa"/>
          </w:tcPr>
          <w:p w14:paraId="74549E37" w14:textId="21C73C9F" w:rsidR="00A36194" w:rsidRDefault="00BF7E4F" w:rsidP="006A5562">
            <w:pPr>
              <w:spacing w:before="120" w:after="120"/>
            </w:pPr>
            <w:r w:rsidRPr="00BF7E4F">
              <w:t>If the individual section(s) is being lowered as part of the revalidation, this is considered security relevant and the module may be submitted as a UPDT with full testing on the individual section(s) that is being lowered.</w:t>
            </w:r>
          </w:p>
          <w:p w14:paraId="29DFA47D" w14:textId="1F6A4FBB" w:rsidR="007D1DDF" w:rsidRDefault="007D1DDF" w:rsidP="006A5562">
            <w:pPr>
              <w:spacing w:before="120" w:after="120"/>
            </w:pPr>
            <w:r w:rsidRPr="001D326E">
              <w:rPr>
                <w:lang w:val="en"/>
              </w:rPr>
              <w:t xml:space="preserve">If the </w:t>
            </w:r>
            <w:r>
              <w:rPr>
                <w:lang w:val="en"/>
              </w:rPr>
              <w:t xml:space="preserve">individual section(s) </w:t>
            </w:r>
            <w:r w:rsidRPr="001D326E">
              <w:rPr>
                <w:lang w:val="en"/>
              </w:rPr>
              <w:t xml:space="preserve">is </w:t>
            </w:r>
            <w:r>
              <w:rPr>
                <w:lang w:val="en"/>
              </w:rPr>
              <w:t xml:space="preserve">being </w:t>
            </w:r>
            <w:r w:rsidRPr="001D326E">
              <w:rPr>
                <w:lang w:val="en"/>
              </w:rPr>
              <w:t xml:space="preserve">raised or if the physical embodiment changes, e.g., from multi-chip standalone to multi-chip embedded, then the cryptographic module will be considered a new module and </w:t>
            </w:r>
            <w:r w:rsidRPr="001D326E">
              <w:rPr>
                <w:b/>
                <w:color w:val="FF0000"/>
                <w:lang w:val="en"/>
              </w:rPr>
              <w:t xml:space="preserve">shall </w:t>
            </w:r>
            <w:r w:rsidRPr="001D326E">
              <w:rPr>
                <w:lang w:val="en"/>
              </w:rPr>
              <w:t>undergo full validation testing by a CSTL and submitted as an FS.</w:t>
            </w:r>
          </w:p>
        </w:tc>
        <w:tc>
          <w:tcPr>
            <w:tcW w:w="4675" w:type="dxa"/>
          </w:tcPr>
          <w:p w14:paraId="03B6115A" w14:textId="77777777" w:rsidR="00A36194" w:rsidRDefault="00A36194" w:rsidP="006A5562">
            <w:pPr>
              <w:spacing w:before="120" w:after="120"/>
            </w:pPr>
          </w:p>
        </w:tc>
      </w:tr>
      <w:tr w:rsidR="00BF7E4F" w14:paraId="57AC69E6" w14:textId="77777777" w:rsidTr="004A3162">
        <w:tc>
          <w:tcPr>
            <w:tcW w:w="4675" w:type="dxa"/>
          </w:tcPr>
          <w:p w14:paraId="6584D885" w14:textId="77777777" w:rsidR="00BF7E4F" w:rsidRDefault="00663D29" w:rsidP="006A5562">
            <w:pPr>
              <w:spacing w:before="120" w:after="120"/>
            </w:pPr>
            <w:r w:rsidRPr="00663D29">
              <w:t>It is not possible to combine any revalidation scenarios outside of what is explicitly permitted by the submission scenario.</w:t>
            </w:r>
          </w:p>
          <w:p w14:paraId="35393809" w14:textId="1A4AB5CF" w:rsidR="001C1DAA" w:rsidRPr="00BF7E4F" w:rsidRDefault="001C1DAA" w:rsidP="006A5562">
            <w:pPr>
              <w:spacing w:before="120" w:after="120"/>
            </w:pPr>
            <w:r>
              <w:rPr>
                <w:lang w:val="en"/>
              </w:rPr>
              <w:t xml:space="preserve">For the revalidation scenarios that </w:t>
            </w:r>
            <w:r>
              <w:rPr>
                <w:i/>
                <w:iCs/>
                <w:lang w:val="en"/>
              </w:rPr>
              <w:t>can</w:t>
            </w:r>
            <w:r>
              <w:rPr>
                <w:lang w:val="en"/>
              </w:rPr>
              <w:t xml:space="preserve"> be combined (</w:t>
            </w:r>
            <w:r>
              <w:rPr>
                <w:lang w:val="en"/>
              </w:rPr>
              <w:t>see MM 7.1.15</w:t>
            </w:r>
            <w:r w:rsidR="00B358AF">
              <w:rPr>
                <w:lang w:val="en"/>
              </w:rPr>
              <w:t xml:space="preserve"> #5)</w:t>
            </w:r>
            <w:r>
              <w:rPr>
                <w:lang w:val="en"/>
              </w:rPr>
              <w:t xml:space="preserve">, the main submission </w:t>
            </w:r>
            <w:r w:rsidRPr="006165F3">
              <w:rPr>
                <w:b/>
                <w:bCs/>
                <w:color w:val="FF0000"/>
                <w:lang w:val="en"/>
              </w:rPr>
              <w:t>shall</w:t>
            </w:r>
            <w:r w:rsidRPr="006165F3">
              <w:rPr>
                <w:color w:val="FF0000"/>
                <w:lang w:val="en"/>
              </w:rPr>
              <w:t xml:space="preserve"> </w:t>
            </w:r>
            <w:r>
              <w:rPr>
                <w:lang w:val="en"/>
              </w:rPr>
              <w:t>meet all applicable requirements of the added/secondary scenario, in addition to the main scenario requirements.  For example, a RBND + NSRL must include proper regression testing and documenting the changes per NSRL specifications.</w:t>
            </w:r>
          </w:p>
        </w:tc>
        <w:tc>
          <w:tcPr>
            <w:tcW w:w="4675" w:type="dxa"/>
          </w:tcPr>
          <w:p w14:paraId="6F27747A" w14:textId="77777777" w:rsidR="00BF7E4F" w:rsidRDefault="00BF7E4F" w:rsidP="006A5562">
            <w:pPr>
              <w:spacing w:before="120" w:after="120"/>
            </w:pPr>
          </w:p>
        </w:tc>
      </w:tr>
      <w:tr w:rsidR="00062A26" w14:paraId="5D1295FD" w14:textId="77777777" w:rsidTr="004A3162">
        <w:tc>
          <w:tcPr>
            <w:tcW w:w="4675" w:type="dxa"/>
          </w:tcPr>
          <w:p w14:paraId="538DDF66" w14:textId="58F97F64" w:rsidR="00062A26" w:rsidRPr="00663D29" w:rsidRDefault="00062A26" w:rsidP="006A5562">
            <w:pPr>
              <w:spacing w:before="120" w:after="120"/>
            </w:pPr>
            <w:r w:rsidRPr="0054114C">
              <w:rPr>
                <w:lang w:val="en"/>
              </w:rPr>
              <w:lastRenderedPageBreak/>
              <w:t xml:space="preserve">A revalidation submission cannot be performed on a submission that is in the queue.  It </w:t>
            </w:r>
            <w:r w:rsidRPr="0054114C">
              <w:rPr>
                <w:b/>
                <w:bCs/>
                <w:color w:val="FF0000"/>
                <w:lang w:val="en"/>
              </w:rPr>
              <w:t>shall</w:t>
            </w:r>
            <w:r w:rsidRPr="0054114C">
              <w:rPr>
                <w:color w:val="FF0000"/>
                <w:lang w:val="en"/>
              </w:rPr>
              <w:t xml:space="preserve"> </w:t>
            </w:r>
            <w:r w:rsidRPr="0054114C">
              <w:rPr>
                <w:lang w:val="en"/>
              </w:rPr>
              <w:t xml:space="preserve">be on a completed validation (e.g., UPDT on a </w:t>
            </w:r>
            <w:r w:rsidRPr="0054114C">
              <w:rPr>
                <w:i/>
                <w:iCs/>
                <w:lang w:val="en"/>
              </w:rPr>
              <w:t>validated</w:t>
            </w:r>
            <w:r w:rsidRPr="0054114C">
              <w:rPr>
                <w:lang w:val="en"/>
              </w:rPr>
              <w:t xml:space="preserve"> FS).</w:t>
            </w:r>
          </w:p>
        </w:tc>
        <w:tc>
          <w:tcPr>
            <w:tcW w:w="4675" w:type="dxa"/>
          </w:tcPr>
          <w:p w14:paraId="04C03735" w14:textId="77777777" w:rsidR="00062A26" w:rsidRDefault="00062A26" w:rsidP="006A5562">
            <w:pPr>
              <w:spacing w:before="120" w:after="120"/>
            </w:pPr>
          </w:p>
        </w:tc>
      </w:tr>
    </w:tbl>
    <w:p w14:paraId="031D8094" w14:textId="6DB39B8C" w:rsidR="00576F79" w:rsidRDefault="00576F79" w:rsidP="006A5562">
      <w:pPr>
        <w:spacing w:before="120" w:after="120" w:line="240" w:lineRule="auto"/>
      </w:pPr>
    </w:p>
    <w:p w14:paraId="6D1BF92C" w14:textId="42BFC097" w:rsidR="00495E8B" w:rsidRDefault="003378E7" w:rsidP="006A5562">
      <w:pPr>
        <w:spacing w:before="120" w:after="120" w:line="240" w:lineRule="auto"/>
        <w:rPr>
          <w:rFonts w:ascii="Times New Roman" w:eastAsia="Times New Roman" w:hAnsi="Times New Roman" w:cs="Times New Roman"/>
          <w:sz w:val="20"/>
          <w:szCs w:val="20"/>
        </w:rPr>
      </w:pPr>
      <w:r w:rsidRPr="003378E7">
        <w:rPr>
          <w:rFonts w:ascii="Times New Roman" w:eastAsia="Times New Roman" w:hAnsi="Times New Roman" w:cs="Times New Roman"/>
          <w:sz w:val="20"/>
          <w:szCs w:val="20"/>
        </w:rPr>
        <w:t>If a CSTL has been contracted to perform a revalidation for a validated module for which the CSTL did not perform the original testing on the base module</w:t>
      </w:r>
      <w:r>
        <w:rPr>
          <w:rFonts w:ascii="Times New Roman" w:eastAsia="Times New Roman" w:hAnsi="Times New Roman" w:cs="Times New Roman"/>
          <w:sz w:val="20"/>
          <w:szCs w:val="20"/>
        </w:rPr>
        <w:t>:</w:t>
      </w:r>
    </w:p>
    <w:tbl>
      <w:tblPr>
        <w:tblStyle w:val="TableGrid"/>
        <w:tblW w:w="0" w:type="auto"/>
        <w:tblLook w:val="04A0" w:firstRow="1" w:lastRow="0" w:firstColumn="1" w:lastColumn="0" w:noHBand="0" w:noVBand="1"/>
      </w:tblPr>
      <w:tblGrid>
        <w:gridCol w:w="4675"/>
        <w:gridCol w:w="4675"/>
      </w:tblGrid>
      <w:tr w:rsidR="00495E8B" w14:paraId="0D87CF73" w14:textId="77777777" w:rsidTr="004A3162">
        <w:tc>
          <w:tcPr>
            <w:tcW w:w="4675" w:type="dxa"/>
            <w:shd w:val="clear" w:color="auto" w:fill="E7E6E6" w:themeFill="background2"/>
          </w:tcPr>
          <w:p w14:paraId="653303AB" w14:textId="77777777" w:rsidR="00495E8B" w:rsidRPr="00E2218C" w:rsidRDefault="00495E8B" w:rsidP="006A5562">
            <w:pPr>
              <w:spacing w:before="120" w:after="120"/>
              <w:rPr>
                <w:b/>
                <w:bCs/>
              </w:rPr>
            </w:pPr>
            <w:r w:rsidRPr="00E2218C">
              <w:rPr>
                <w:b/>
                <w:bCs/>
              </w:rPr>
              <w:t>Requirement</w:t>
            </w:r>
          </w:p>
        </w:tc>
        <w:tc>
          <w:tcPr>
            <w:tcW w:w="4675" w:type="dxa"/>
            <w:shd w:val="clear" w:color="auto" w:fill="E7E6E6" w:themeFill="background2"/>
          </w:tcPr>
          <w:p w14:paraId="7120AC88" w14:textId="6E50C027" w:rsidR="00495E8B" w:rsidRPr="00E2218C" w:rsidRDefault="00E30624" w:rsidP="006A5562">
            <w:pPr>
              <w:spacing w:before="120" w:after="120"/>
              <w:rPr>
                <w:b/>
                <w:bCs/>
              </w:rPr>
            </w:pPr>
            <w:r>
              <w:rPr>
                <w:b/>
                <w:bCs/>
              </w:rPr>
              <w:t xml:space="preserve">CSTL </w:t>
            </w:r>
            <w:r w:rsidR="00495E8B">
              <w:rPr>
                <w:b/>
                <w:bCs/>
              </w:rPr>
              <w:t>Compliance evidence / justification</w:t>
            </w:r>
          </w:p>
        </w:tc>
      </w:tr>
      <w:tr w:rsidR="00495E8B" w14:paraId="23C00D1C" w14:textId="77777777" w:rsidTr="004A3162">
        <w:tc>
          <w:tcPr>
            <w:tcW w:w="4675" w:type="dxa"/>
          </w:tcPr>
          <w:p w14:paraId="2E2E33F0" w14:textId="6D4F1B0C" w:rsidR="00495E8B" w:rsidRDefault="00D27AD6" w:rsidP="006A5562">
            <w:pPr>
              <w:spacing w:before="120" w:after="120"/>
            </w:pPr>
            <w:r w:rsidRPr="001D326E">
              <w:rPr>
                <w:color w:val="000000"/>
              </w:rPr>
              <w:t xml:space="preserve">The vendor </w:t>
            </w:r>
            <w:r w:rsidRPr="001D326E">
              <w:rPr>
                <w:b/>
                <w:color w:val="FF0000"/>
              </w:rPr>
              <w:t>shall</w:t>
            </w:r>
            <w:r w:rsidRPr="001D326E">
              <w:rPr>
                <w:color w:val="000000"/>
              </w:rPr>
              <w:t xml:space="preserve"> provide the CSTL with the design documentation and implementation (including source code, HDL, etc.) of the base validated module and of the module that has been updated.</w:t>
            </w:r>
          </w:p>
        </w:tc>
        <w:tc>
          <w:tcPr>
            <w:tcW w:w="4675" w:type="dxa"/>
          </w:tcPr>
          <w:p w14:paraId="3D8B4AC4" w14:textId="77777777" w:rsidR="00495E8B" w:rsidRDefault="00495E8B" w:rsidP="006A5562">
            <w:pPr>
              <w:spacing w:before="120" w:after="120"/>
            </w:pPr>
          </w:p>
        </w:tc>
      </w:tr>
      <w:tr w:rsidR="00495E8B" w14:paraId="06AD151B" w14:textId="77777777" w:rsidTr="004A3162">
        <w:tc>
          <w:tcPr>
            <w:tcW w:w="4675" w:type="dxa"/>
          </w:tcPr>
          <w:p w14:paraId="19C39EBA" w14:textId="5AE7BA77" w:rsidR="00495E8B" w:rsidRDefault="008B2EBE" w:rsidP="006A5562">
            <w:pPr>
              <w:spacing w:before="120" w:after="120"/>
            </w:pPr>
            <w:r w:rsidRPr="001D326E">
              <w:t xml:space="preserve">The vendor </w:t>
            </w:r>
            <w:r w:rsidRPr="001D326E">
              <w:rPr>
                <w:b/>
                <w:bCs/>
                <w:color w:val="FF0000"/>
              </w:rPr>
              <w:t>shall</w:t>
            </w:r>
            <w:r w:rsidRPr="001D326E">
              <w:rPr>
                <w:color w:val="FF0000"/>
              </w:rPr>
              <w:t xml:space="preserve"> </w:t>
            </w:r>
            <w:r w:rsidRPr="001D326E">
              <w:t>provide the CSTL with the latest Security Policy as shown on the base module’s most recent certificate.</w:t>
            </w:r>
            <w:r w:rsidR="00495E8B" w:rsidRPr="004F102C">
              <w:t xml:space="preserve"> </w:t>
            </w:r>
          </w:p>
        </w:tc>
        <w:tc>
          <w:tcPr>
            <w:tcW w:w="4675" w:type="dxa"/>
          </w:tcPr>
          <w:p w14:paraId="00ACF7DA" w14:textId="77777777" w:rsidR="00495E8B" w:rsidRDefault="00495E8B" w:rsidP="006A5562">
            <w:pPr>
              <w:spacing w:before="120" w:after="120"/>
            </w:pPr>
          </w:p>
        </w:tc>
      </w:tr>
      <w:tr w:rsidR="00495E8B" w14:paraId="24EB3BB4" w14:textId="77777777" w:rsidTr="004A3162">
        <w:tc>
          <w:tcPr>
            <w:tcW w:w="4675" w:type="dxa"/>
          </w:tcPr>
          <w:p w14:paraId="390F550C" w14:textId="19FD758D" w:rsidR="00495E8B" w:rsidRDefault="00495E8B" w:rsidP="006A5562">
            <w:pPr>
              <w:spacing w:before="120" w:after="120"/>
            </w:pPr>
            <w:r w:rsidRPr="004F102C">
              <w:rPr>
                <w:color w:val="000000"/>
              </w:rPr>
              <w:t xml:space="preserve">The </w:t>
            </w:r>
            <w:r w:rsidR="00157472">
              <w:rPr>
                <w:color w:val="000000"/>
              </w:rPr>
              <w:t>CSTL</w:t>
            </w:r>
            <w:r w:rsidRPr="004F102C">
              <w:rPr>
                <w:color w:val="000000"/>
              </w:rPr>
              <w:t xml:space="preserve"> </w:t>
            </w:r>
            <w:r w:rsidRPr="004F102C">
              <w:rPr>
                <w:b/>
                <w:color w:val="FF0000"/>
              </w:rPr>
              <w:t>shall</w:t>
            </w:r>
            <w:r w:rsidRPr="004F102C">
              <w:rPr>
                <w:color w:val="000000"/>
              </w:rPr>
              <w:t xml:space="preserve"> determine that the provided base documentation and implementation is identical to the base validated module.</w:t>
            </w:r>
          </w:p>
        </w:tc>
        <w:tc>
          <w:tcPr>
            <w:tcW w:w="4675" w:type="dxa"/>
          </w:tcPr>
          <w:p w14:paraId="1C3E8118" w14:textId="77777777" w:rsidR="00495E8B" w:rsidRDefault="00495E8B" w:rsidP="006A5562">
            <w:pPr>
              <w:spacing w:before="120" w:after="120"/>
            </w:pPr>
          </w:p>
        </w:tc>
      </w:tr>
      <w:tr w:rsidR="00495E8B" w14:paraId="41CB7BA9" w14:textId="77777777" w:rsidTr="004A3162">
        <w:tc>
          <w:tcPr>
            <w:tcW w:w="4675" w:type="dxa"/>
          </w:tcPr>
          <w:p w14:paraId="6F5E34E4" w14:textId="71300DA9" w:rsidR="00495E8B" w:rsidRDefault="00495E8B" w:rsidP="006A5562">
            <w:pPr>
              <w:spacing w:before="120" w:after="120"/>
            </w:pPr>
            <w:r w:rsidRPr="004F102C">
              <w:rPr>
                <w:color w:val="000000"/>
              </w:rPr>
              <w:t xml:space="preserve">The </w:t>
            </w:r>
            <w:r w:rsidR="00157472">
              <w:rPr>
                <w:color w:val="000000"/>
              </w:rPr>
              <w:t>CSTL</w:t>
            </w:r>
            <w:r w:rsidRPr="004F102C">
              <w:rPr>
                <w:color w:val="000000"/>
              </w:rPr>
              <w:t xml:space="preserve"> </w:t>
            </w:r>
            <w:r w:rsidRPr="004F102C">
              <w:rPr>
                <w:b/>
                <w:color w:val="FF0000"/>
              </w:rPr>
              <w:t>shall</w:t>
            </w:r>
            <w:r w:rsidRPr="004F102C">
              <w:rPr>
                <w:color w:val="000000"/>
              </w:rPr>
              <w:t xml:space="preserve"> examine each modification and confirm that the change is appropriate for the submission type (e.g., non-security relevant for NSRL).</w:t>
            </w:r>
          </w:p>
        </w:tc>
        <w:tc>
          <w:tcPr>
            <w:tcW w:w="4675" w:type="dxa"/>
          </w:tcPr>
          <w:p w14:paraId="0C1FFA21" w14:textId="77777777" w:rsidR="00495E8B" w:rsidRDefault="00495E8B" w:rsidP="006A5562">
            <w:pPr>
              <w:spacing w:before="120" w:after="120"/>
            </w:pPr>
          </w:p>
        </w:tc>
      </w:tr>
      <w:tr w:rsidR="00495E8B" w14:paraId="58421447" w14:textId="77777777" w:rsidTr="004A3162">
        <w:tc>
          <w:tcPr>
            <w:tcW w:w="4675" w:type="dxa"/>
          </w:tcPr>
          <w:p w14:paraId="3653DAA9" w14:textId="60C7E14B" w:rsidR="00495E8B" w:rsidRDefault="00495E8B" w:rsidP="006A5562">
            <w:pPr>
              <w:spacing w:before="120" w:after="120"/>
            </w:pPr>
            <w:r w:rsidRPr="004F102C">
              <w:rPr>
                <w:color w:val="000000"/>
              </w:rPr>
              <w:t xml:space="preserve">The </w:t>
            </w:r>
            <w:r w:rsidR="00157472">
              <w:rPr>
                <w:color w:val="000000"/>
              </w:rPr>
              <w:t>CSTL</w:t>
            </w:r>
            <w:r w:rsidRPr="004F102C">
              <w:rPr>
                <w:color w:val="000000"/>
              </w:rPr>
              <w:t xml:space="preserve"> </w:t>
            </w:r>
            <w:r w:rsidRPr="004F102C">
              <w:rPr>
                <w:b/>
                <w:color w:val="FF0000"/>
              </w:rPr>
              <w:t>shall</w:t>
            </w:r>
            <w:r w:rsidRPr="004F102C">
              <w:rPr>
                <w:color w:val="000000"/>
              </w:rPr>
              <w:t xml:space="preserve"> determine that no other modifications, including unintentional, have been made apart from what is permitted by the revalidation scenario. </w:t>
            </w:r>
          </w:p>
        </w:tc>
        <w:tc>
          <w:tcPr>
            <w:tcW w:w="4675" w:type="dxa"/>
          </w:tcPr>
          <w:p w14:paraId="49F85E2F" w14:textId="77777777" w:rsidR="00495E8B" w:rsidRDefault="00495E8B" w:rsidP="006A5562">
            <w:pPr>
              <w:spacing w:before="120" w:after="120"/>
            </w:pPr>
          </w:p>
        </w:tc>
      </w:tr>
      <w:tr w:rsidR="00495E8B" w14:paraId="3B1F6BAB" w14:textId="77777777" w:rsidTr="004A3162">
        <w:tc>
          <w:tcPr>
            <w:tcW w:w="4675" w:type="dxa"/>
          </w:tcPr>
          <w:p w14:paraId="7A10D483" w14:textId="7532AB8C" w:rsidR="00495E8B" w:rsidRDefault="00495E8B" w:rsidP="006A5562">
            <w:pPr>
              <w:spacing w:before="120" w:after="120"/>
            </w:pPr>
            <w:r w:rsidRPr="004F102C">
              <w:rPr>
                <w:color w:val="000000"/>
              </w:rPr>
              <w:t xml:space="preserve">The </w:t>
            </w:r>
            <w:r w:rsidR="00157472">
              <w:rPr>
                <w:color w:val="000000"/>
              </w:rPr>
              <w:t>CSTL</w:t>
            </w:r>
            <w:r w:rsidRPr="004F102C">
              <w:rPr>
                <w:color w:val="000000"/>
              </w:rPr>
              <w:t xml:space="preserve"> </w:t>
            </w:r>
            <w:r w:rsidRPr="004F102C">
              <w:rPr>
                <w:b/>
                <w:bCs/>
                <w:color w:val="FF0000"/>
              </w:rPr>
              <w:t>shall</w:t>
            </w:r>
            <w:r w:rsidRPr="004F102C">
              <w:rPr>
                <w:color w:val="FF0000"/>
              </w:rPr>
              <w:t xml:space="preserve"> </w:t>
            </w:r>
            <w:r w:rsidRPr="004F102C">
              <w:rPr>
                <w:color w:val="000000"/>
              </w:rPr>
              <w:t>meet all requirements of the revalidation scenario(s) submitted</w:t>
            </w:r>
            <w:r w:rsidRPr="004F102C">
              <w:t>.</w:t>
            </w:r>
          </w:p>
        </w:tc>
        <w:tc>
          <w:tcPr>
            <w:tcW w:w="4675" w:type="dxa"/>
          </w:tcPr>
          <w:p w14:paraId="72B594EE" w14:textId="77777777" w:rsidR="00495E8B" w:rsidRDefault="00495E8B" w:rsidP="006A5562">
            <w:pPr>
              <w:spacing w:before="120" w:after="120"/>
            </w:pPr>
          </w:p>
        </w:tc>
      </w:tr>
      <w:tr w:rsidR="00495E8B" w14:paraId="24B716B4" w14:textId="77777777" w:rsidTr="004A3162">
        <w:tc>
          <w:tcPr>
            <w:tcW w:w="4675" w:type="dxa"/>
          </w:tcPr>
          <w:p w14:paraId="3F7246AE" w14:textId="018302A7" w:rsidR="00495E8B" w:rsidRDefault="00495E8B" w:rsidP="006A5562">
            <w:pPr>
              <w:spacing w:before="120" w:after="120"/>
            </w:pPr>
            <w:r w:rsidRPr="00A45E3C">
              <w:t xml:space="preserve">The </w:t>
            </w:r>
            <w:r w:rsidR="00157472">
              <w:t>CSTL</w:t>
            </w:r>
            <w:r w:rsidRPr="00A45E3C">
              <w:t xml:space="preserve"> </w:t>
            </w:r>
            <w:r w:rsidRPr="00A45E3C">
              <w:rPr>
                <w:b/>
                <w:bCs/>
                <w:color w:val="FF0000"/>
              </w:rPr>
              <w:t>shall</w:t>
            </w:r>
            <w:r w:rsidRPr="00A45E3C">
              <w:rPr>
                <w:color w:val="FF0000"/>
              </w:rPr>
              <w:t xml:space="preserve"> </w:t>
            </w:r>
            <w:r w:rsidRPr="00A45E3C">
              <w:t>indicate which submission scenario is applicable and a summary of associated changes</w:t>
            </w:r>
            <w:r>
              <w:t>.</w:t>
            </w:r>
          </w:p>
        </w:tc>
        <w:tc>
          <w:tcPr>
            <w:tcW w:w="4675" w:type="dxa"/>
          </w:tcPr>
          <w:p w14:paraId="1E0E4699" w14:textId="77777777" w:rsidR="00495E8B" w:rsidRDefault="00495E8B" w:rsidP="006A5562">
            <w:pPr>
              <w:spacing w:before="120" w:after="120"/>
            </w:pPr>
          </w:p>
        </w:tc>
      </w:tr>
      <w:tr w:rsidR="00495E8B" w14:paraId="7F493392" w14:textId="77777777" w:rsidTr="004A3162">
        <w:tc>
          <w:tcPr>
            <w:tcW w:w="4675" w:type="dxa"/>
          </w:tcPr>
          <w:p w14:paraId="1EEEB6EF" w14:textId="77C7E077" w:rsidR="00495E8B" w:rsidRDefault="00495E8B" w:rsidP="006A5562">
            <w:pPr>
              <w:spacing w:before="120" w:after="120"/>
            </w:pPr>
            <w:r w:rsidRPr="004F102C">
              <w:t xml:space="preserve">The </w:t>
            </w:r>
            <w:r w:rsidR="00157472">
              <w:t>CSTL</w:t>
            </w:r>
            <w:r w:rsidRPr="004F102C">
              <w:t xml:space="preserve"> </w:t>
            </w:r>
            <w:r w:rsidRPr="004F102C">
              <w:rPr>
                <w:b/>
                <w:bCs/>
                <w:color w:val="FF0000"/>
              </w:rPr>
              <w:t>shall</w:t>
            </w:r>
            <w:r w:rsidRPr="004F102C">
              <w:rPr>
                <w:color w:val="FF0000"/>
              </w:rPr>
              <w:t xml:space="preserve"> </w:t>
            </w:r>
            <w:r w:rsidRPr="004F102C">
              <w:t>use the format for listing the information for the certificate as required by each revalidation scenario.</w:t>
            </w:r>
          </w:p>
        </w:tc>
        <w:tc>
          <w:tcPr>
            <w:tcW w:w="4675" w:type="dxa"/>
          </w:tcPr>
          <w:p w14:paraId="46ECA380" w14:textId="77777777" w:rsidR="00495E8B" w:rsidRDefault="00495E8B" w:rsidP="006A5562">
            <w:pPr>
              <w:spacing w:before="120" w:after="120"/>
            </w:pPr>
          </w:p>
        </w:tc>
      </w:tr>
      <w:tr w:rsidR="00495E8B" w14:paraId="4F022056" w14:textId="77777777" w:rsidTr="004A3162">
        <w:tc>
          <w:tcPr>
            <w:tcW w:w="4675" w:type="dxa"/>
          </w:tcPr>
          <w:p w14:paraId="364C7295" w14:textId="43CF3586" w:rsidR="00495E8B" w:rsidRDefault="00495E8B" w:rsidP="006A5562">
            <w:pPr>
              <w:spacing w:before="120" w:after="120"/>
            </w:pPr>
            <w:r w:rsidRPr="004F102C">
              <w:t xml:space="preserve">The </w:t>
            </w:r>
            <w:r w:rsidR="00157472">
              <w:t>CSTL</w:t>
            </w:r>
            <w:r w:rsidRPr="004F102C">
              <w:t xml:space="preserve"> </w:t>
            </w:r>
            <w:r w:rsidRPr="004F102C">
              <w:rPr>
                <w:b/>
                <w:color w:val="FF0000"/>
              </w:rPr>
              <w:t xml:space="preserve">shall </w:t>
            </w:r>
            <w:r w:rsidRPr="004F102C">
              <w:t>submit, at a minimum, what is required by the revalidation scenario.</w:t>
            </w:r>
          </w:p>
        </w:tc>
        <w:tc>
          <w:tcPr>
            <w:tcW w:w="4675" w:type="dxa"/>
          </w:tcPr>
          <w:p w14:paraId="2DD4926D" w14:textId="77777777" w:rsidR="00495E8B" w:rsidRDefault="00495E8B" w:rsidP="006A5562">
            <w:pPr>
              <w:spacing w:before="120" w:after="120"/>
            </w:pPr>
          </w:p>
        </w:tc>
      </w:tr>
    </w:tbl>
    <w:p w14:paraId="1E6330AA" w14:textId="77777777" w:rsidR="00495E8B" w:rsidRDefault="00495E8B" w:rsidP="006A5562">
      <w:pPr>
        <w:spacing w:before="120" w:after="120" w:line="240" w:lineRule="auto"/>
      </w:pPr>
    </w:p>
    <w:p w14:paraId="41226CB5" w14:textId="77777777" w:rsidR="00FE0387" w:rsidRDefault="00FE0387">
      <w:pPr>
        <w:rPr>
          <w:rFonts w:asciiTheme="majorHAnsi" w:eastAsia="Times New Roman" w:hAnsiTheme="majorHAnsi" w:cstheme="majorBidi"/>
          <w:color w:val="2F5496" w:themeColor="accent1" w:themeShade="BF"/>
          <w:sz w:val="26"/>
          <w:szCs w:val="26"/>
        </w:rPr>
      </w:pPr>
      <w:r>
        <w:rPr>
          <w:rFonts w:asciiTheme="majorHAnsi" w:eastAsia="Times New Roman" w:hAnsiTheme="majorHAnsi" w:cstheme="majorBidi"/>
          <w:color w:val="2F5496" w:themeColor="accent1" w:themeShade="BF"/>
          <w:sz w:val="26"/>
          <w:szCs w:val="26"/>
        </w:rPr>
        <w:br w:type="page"/>
      </w:r>
    </w:p>
    <w:p w14:paraId="32DA7D6A" w14:textId="6EEE2586" w:rsidR="002E3063" w:rsidRPr="002E3063" w:rsidRDefault="002E3063" w:rsidP="002E3063">
      <w:pPr>
        <w:keepNext/>
        <w:keepLines/>
        <w:numPr>
          <w:ilvl w:val="1"/>
          <w:numId w:val="12"/>
        </w:numPr>
        <w:spacing w:before="120" w:after="120" w:line="240" w:lineRule="auto"/>
        <w:outlineLvl w:val="1"/>
        <w:rPr>
          <w:rFonts w:asciiTheme="majorHAnsi" w:eastAsia="Times New Roman" w:hAnsiTheme="majorHAnsi" w:cstheme="majorBidi"/>
          <w:color w:val="2F5496" w:themeColor="accent1" w:themeShade="BF"/>
          <w:sz w:val="26"/>
          <w:szCs w:val="26"/>
        </w:rPr>
      </w:pPr>
      <w:bookmarkStart w:id="2" w:name="_Toc161415365"/>
      <w:r>
        <w:rPr>
          <w:rFonts w:asciiTheme="majorHAnsi" w:eastAsia="Times New Roman" w:hAnsiTheme="majorHAnsi" w:cstheme="majorBidi"/>
          <w:color w:val="2F5496" w:themeColor="accent1" w:themeShade="BF"/>
          <w:sz w:val="26"/>
          <w:szCs w:val="26"/>
        </w:rPr>
        <w:lastRenderedPageBreak/>
        <w:t>FS</w:t>
      </w:r>
      <w:bookmarkEnd w:id="2"/>
    </w:p>
    <w:p w14:paraId="030A0E33" w14:textId="095B8451" w:rsidR="002E3063" w:rsidRPr="002E3063" w:rsidRDefault="002E3063" w:rsidP="002E3063">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Change </w:t>
      </w:r>
      <w:r w:rsidR="009029E5">
        <w:rPr>
          <w:rFonts w:ascii="Times New Roman" w:eastAsia="Times New Roman" w:hAnsi="Times New Roman" w:cs="Times New Roman"/>
          <w:sz w:val="20"/>
          <w:szCs w:val="20"/>
        </w:rPr>
        <w:t>Document</w:t>
      </w:r>
      <w:r>
        <w:rPr>
          <w:rFonts w:ascii="Times New Roman" w:eastAsia="Times New Roman" w:hAnsi="Times New Roman" w:cs="Times New Roman"/>
          <w:sz w:val="20"/>
          <w:szCs w:val="20"/>
        </w:rPr>
        <w:t xml:space="preserve"> is N/A</w:t>
      </w:r>
      <w:r w:rsidR="00457902">
        <w:rPr>
          <w:rFonts w:ascii="Times New Roman" w:eastAsia="Times New Roman" w:hAnsi="Times New Roman" w:cs="Times New Roman"/>
          <w:sz w:val="20"/>
          <w:szCs w:val="20"/>
        </w:rPr>
        <w:t xml:space="preserve"> for an FS</w:t>
      </w:r>
      <w:r>
        <w:rPr>
          <w:rFonts w:ascii="Times New Roman" w:eastAsia="Times New Roman" w:hAnsi="Times New Roman" w:cs="Times New Roman"/>
          <w:sz w:val="20"/>
          <w:szCs w:val="20"/>
        </w:rPr>
        <w:t>.</w:t>
      </w:r>
    </w:p>
    <w:p w14:paraId="2A252B84"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71DB7C6B" w14:textId="03D1FEB6" w:rsidR="00576F79" w:rsidRDefault="00576F79" w:rsidP="00EA1BF7">
      <w:pPr>
        <w:pStyle w:val="Heading2"/>
        <w:numPr>
          <w:ilvl w:val="1"/>
          <w:numId w:val="12"/>
        </w:numPr>
        <w:spacing w:before="120" w:after="120" w:line="240" w:lineRule="auto"/>
        <w:rPr>
          <w:rFonts w:eastAsia="Times New Roman"/>
        </w:rPr>
      </w:pPr>
      <w:bookmarkStart w:id="3" w:name="_Toc161415366"/>
      <w:r>
        <w:rPr>
          <w:rFonts w:eastAsia="Times New Roman"/>
        </w:rPr>
        <w:lastRenderedPageBreak/>
        <w:t>VUP</w:t>
      </w:r>
      <w:bookmarkEnd w:id="3"/>
    </w:p>
    <w:p w14:paraId="0C411BBF" w14:textId="1B1108E3" w:rsidR="00576F79" w:rsidRDefault="00982AEA" w:rsidP="006A5562">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r w:rsidR="00FC3F59">
        <w:rPr>
          <w:rFonts w:ascii="Times New Roman" w:eastAsia="Times New Roman" w:hAnsi="Times New Roman" w:cs="Times New Roman"/>
          <w:sz w:val="20"/>
          <w:szCs w:val="20"/>
        </w:rPr>
        <w:t>unique</w:t>
      </w:r>
      <w:r>
        <w:rPr>
          <w:rFonts w:ascii="Times New Roman" w:eastAsia="Times New Roman" w:hAnsi="Times New Roman" w:cs="Times New Roman"/>
          <w:sz w:val="20"/>
          <w:szCs w:val="20"/>
        </w:rPr>
        <w:t xml:space="preserve"> table requirements for a VUP. The</w:t>
      </w:r>
      <w:r w:rsidR="004E412E">
        <w:rPr>
          <w:rFonts w:ascii="Times New Roman" w:eastAsia="Times New Roman" w:hAnsi="Times New Roman" w:cs="Times New Roman"/>
          <w:sz w:val="20"/>
          <w:szCs w:val="20"/>
        </w:rPr>
        <w:t xml:space="preserve"> general table requirements for all revalidation scenarios still apply (e.g., </w:t>
      </w:r>
      <w:r w:rsidR="00FC3F59">
        <w:rPr>
          <w:rFonts w:ascii="Times New Roman" w:eastAsia="Times New Roman" w:hAnsi="Times New Roman" w:cs="Times New Roman"/>
          <w:sz w:val="20"/>
          <w:szCs w:val="20"/>
        </w:rPr>
        <w:t>Sections</w:t>
      </w:r>
      <w:r w:rsidR="00457902">
        <w:rPr>
          <w:rFonts w:ascii="Times New Roman" w:eastAsia="Times New Roman" w:hAnsi="Times New Roman" w:cs="Times New Roman"/>
          <w:sz w:val="20"/>
          <w:szCs w:val="20"/>
        </w:rPr>
        <w:t>:</w:t>
      </w:r>
      <w:r w:rsidR="00FC3F59">
        <w:rPr>
          <w:rFonts w:ascii="Times New Roman" w:eastAsia="Times New Roman" w:hAnsi="Times New Roman" w:cs="Times New Roman"/>
          <w:sz w:val="20"/>
          <w:szCs w:val="20"/>
        </w:rPr>
        <w:t xml:space="preserve"> 1.1, 2, and 3).</w:t>
      </w:r>
      <w:r>
        <w:rPr>
          <w:rFonts w:ascii="Times New Roman" w:eastAsia="Times New Roman" w:hAnsi="Times New Roman" w:cs="Times New Roman"/>
          <w:sz w:val="20"/>
          <w:szCs w:val="20"/>
        </w:rPr>
        <w:t xml:space="preserve"> </w:t>
      </w:r>
    </w:p>
    <w:p w14:paraId="049C7A12" w14:textId="77777777" w:rsidR="008A7922" w:rsidRDefault="008A7922" w:rsidP="006A5562">
      <w:pPr>
        <w:spacing w:before="120" w:after="120" w:line="240" w:lineRule="auto"/>
        <w:rPr>
          <w:rFonts w:ascii="Times New Roman" w:eastAsia="Times New Roman" w:hAnsi="Times New Roman" w:cs="Times New Roman"/>
          <w:sz w:val="20"/>
          <w:szCs w:val="20"/>
        </w:rPr>
      </w:pPr>
    </w:p>
    <w:p w14:paraId="65B7D885"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28447138" w14:textId="6F031E8C" w:rsidR="006E7A73" w:rsidRDefault="006E7A73" w:rsidP="00EA1BF7">
      <w:pPr>
        <w:pStyle w:val="Heading2"/>
        <w:numPr>
          <w:ilvl w:val="1"/>
          <w:numId w:val="12"/>
        </w:numPr>
        <w:spacing w:before="120" w:after="120" w:line="240" w:lineRule="auto"/>
        <w:rPr>
          <w:rFonts w:eastAsia="Times New Roman"/>
        </w:rPr>
      </w:pPr>
      <w:bookmarkStart w:id="4" w:name="_Toc161415367"/>
      <w:r>
        <w:rPr>
          <w:rFonts w:eastAsia="Times New Roman"/>
        </w:rPr>
        <w:lastRenderedPageBreak/>
        <w:t>VAOE</w:t>
      </w:r>
      <w:bookmarkEnd w:id="4"/>
    </w:p>
    <w:tbl>
      <w:tblPr>
        <w:tblStyle w:val="TableGrid"/>
        <w:tblW w:w="0" w:type="auto"/>
        <w:tblLook w:val="04A0" w:firstRow="1" w:lastRow="0" w:firstColumn="1" w:lastColumn="0" w:noHBand="0" w:noVBand="1"/>
      </w:tblPr>
      <w:tblGrid>
        <w:gridCol w:w="4675"/>
        <w:gridCol w:w="4675"/>
      </w:tblGrid>
      <w:tr w:rsidR="000F0049" w14:paraId="4B9F228D" w14:textId="77777777" w:rsidTr="004A3162">
        <w:tc>
          <w:tcPr>
            <w:tcW w:w="4675" w:type="dxa"/>
            <w:shd w:val="clear" w:color="auto" w:fill="E7E6E6" w:themeFill="background2"/>
          </w:tcPr>
          <w:p w14:paraId="128696FC" w14:textId="77777777" w:rsidR="000F0049" w:rsidRPr="00E2218C" w:rsidRDefault="000F0049" w:rsidP="006A5562">
            <w:pPr>
              <w:spacing w:before="120" w:after="120"/>
              <w:rPr>
                <w:b/>
                <w:bCs/>
              </w:rPr>
            </w:pPr>
            <w:r w:rsidRPr="00E2218C">
              <w:rPr>
                <w:b/>
                <w:bCs/>
              </w:rPr>
              <w:t>Requirement</w:t>
            </w:r>
          </w:p>
        </w:tc>
        <w:tc>
          <w:tcPr>
            <w:tcW w:w="4675" w:type="dxa"/>
            <w:shd w:val="clear" w:color="auto" w:fill="E7E6E6" w:themeFill="background2"/>
          </w:tcPr>
          <w:p w14:paraId="505AEF67" w14:textId="1C2166D6" w:rsidR="000F0049" w:rsidRPr="00E2218C" w:rsidRDefault="00E30624" w:rsidP="006A5562">
            <w:pPr>
              <w:spacing w:before="120" w:after="120"/>
              <w:rPr>
                <w:b/>
                <w:bCs/>
              </w:rPr>
            </w:pPr>
            <w:r>
              <w:rPr>
                <w:b/>
                <w:bCs/>
              </w:rPr>
              <w:t xml:space="preserve">CSTL </w:t>
            </w:r>
            <w:r w:rsidR="000F0049">
              <w:rPr>
                <w:b/>
                <w:bCs/>
              </w:rPr>
              <w:t>Compliance evidence / justification</w:t>
            </w:r>
          </w:p>
        </w:tc>
      </w:tr>
      <w:tr w:rsidR="000F0049" w14:paraId="15CCA9ED" w14:textId="77777777" w:rsidTr="004A3162">
        <w:tc>
          <w:tcPr>
            <w:tcW w:w="4675" w:type="dxa"/>
          </w:tcPr>
          <w:p w14:paraId="32FD56C9" w14:textId="2AC3B8E9" w:rsidR="000F0049" w:rsidRPr="008A7922" w:rsidRDefault="000F0049" w:rsidP="006A5562">
            <w:pPr>
              <w:spacing w:before="120" w:after="120"/>
            </w:pPr>
            <w:r w:rsidRPr="008A7922">
              <w:t xml:space="preserve">Management Manual 7.9 </w:t>
            </w:r>
            <w:r w:rsidRPr="00FC758E">
              <w:rPr>
                <w:i/>
                <w:iCs/>
              </w:rPr>
              <w:t>Vendor or User Affirmation of Modules for the vendor affirmed OEs</w:t>
            </w:r>
          </w:p>
        </w:tc>
        <w:tc>
          <w:tcPr>
            <w:tcW w:w="4675" w:type="dxa"/>
          </w:tcPr>
          <w:p w14:paraId="3BF73583" w14:textId="77777777" w:rsidR="000F0049" w:rsidRDefault="000F0049" w:rsidP="006A5562">
            <w:pPr>
              <w:spacing w:before="120" w:after="120"/>
            </w:pPr>
          </w:p>
        </w:tc>
      </w:tr>
    </w:tbl>
    <w:p w14:paraId="7CDC5AEF" w14:textId="77777777" w:rsidR="000F0049" w:rsidRDefault="000F0049" w:rsidP="006A5562">
      <w:pPr>
        <w:spacing w:before="120" w:after="120" w:line="240" w:lineRule="auto"/>
        <w:rPr>
          <w:rFonts w:ascii="Times New Roman" w:eastAsia="Times New Roman" w:hAnsi="Times New Roman" w:cs="Times New Roman"/>
          <w:sz w:val="20"/>
          <w:szCs w:val="20"/>
        </w:rPr>
      </w:pPr>
    </w:p>
    <w:p w14:paraId="13F4CAC6"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03656E6A" w14:textId="58FA434D" w:rsidR="0082087C" w:rsidRDefault="0082087C" w:rsidP="00EA1BF7">
      <w:pPr>
        <w:pStyle w:val="Heading2"/>
        <w:numPr>
          <w:ilvl w:val="1"/>
          <w:numId w:val="12"/>
        </w:numPr>
        <w:spacing w:before="120" w:after="120" w:line="240" w:lineRule="auto"/>
        <w:rPr>
          <w:rFonts w:eastAsia="Times New Roman"/>
        </w:rPr>
      </w:pPr>
      <w:bookmarkStart w:id="5" w:name="_Toc161415368"/>
      <w:r>
        <w:rPr>
          <w:rFonts w:eastAsia="Times New Roman"/>
        </w:rPr>
        <w:lastRenderedPageBreak/>
        <w:t>NSRL</w:t>
      </w:r>
      <w:bookmarkEnd w:id="5"/>
    </w:p>
    <w:p w14:paraId="52036EDE" w14:textId="1EF07486" w:rsidR="00716C3B" w:rsidRPr="006D412B" w:rsidRDefault="00716C3B" w:rsidP="00716C3B">
      <w:pPr>
        <w:rPr>
          <w:sz w:val="20"/>
          <w:szCs w:val="20"/>
        </w:rPr>
      </w:pPr>
      <w:r w:rsidRPr="006D412B">
        <w:rPr>
          <w:rFonts w:ascii="Times New Roman" w:eastAsia="Times New Roman" w:hAnsi="Times New Roman" w:cs="Times New Roman"/>
          <w:sz w:val="20"/>
          <w:szCs w:val="20"/>
          <w:lang w:val="en"/>
        </w:rPr>
        <w:t xml:space="preserve">Modifications are made to hardware, software or firmware components </w:t>
      </w:r>
      <w:r w:rsidRPr="006D412B">
        <w:rPr>
          <w:rFonts w:ascii="Times New Roman" w:eastAsia="Times New Roman" w:hAnsi="Times New Roman" w:cs="Times New Roman"/>
          <w:b/>
          <w:bCs/>
          <w:sz w:val="20"/>
          <w:szCs w:val="20"/>
          <w:lang w:val="en"/>
        </w:rPr>
        <w:t>that do not affect any FIPS 140-3 security relevant items</w:t>
      </w:r>
      <w:r w:rsidRPr="006D412B">
        <w:rPr>
          <w:rFonts w:ascii="Times New Roman" w:eastAsia="Times New Roman" w:hAnsi="Times New Roman" w:cs="Times New Roman"/>
          <w:sz w:val="20"/>
          <w:szCs w:val="20"/>
          <w:lang w:val="en"/>
        </w:rPr>
        <w:t xml:space="preserve">. </w:t>
      </w:r>
      <w:r w:rsidR="007E2533" w:rsidRPr="007E2533">
        <w:rPr>
          <w:rFonts w:ascii="Times New Roman" w:eastAsia="Times New Roman" w:hAnsi="Times New Roman" w:cs="Times New Roman"/>
          <w:sz w:val="20"/>
          <w:szCs w:val="20"/>
          <w:lang w:val="en"/>
        </w:rPr>
        <w:t xml:space="preserve">Per </w:t>
      </w:r>
      <w:hyperlink r:id="rId8" w:anchor="2.4.A%20Definition%20and%20Use%20of%20a%20non-Approved%20Security%20Function" w:history="1">
        <w:r w:rsidR="007E2533" w:rsidRPr="007E2533">
          <w:rPr>
            <w:rStyle w:val="Hyperlink"/>
            <w:rFonts w:ascii="Times New Roman" w:eastAsia="Times New Roman" w:hAnsi="Times New Roman" w:cs="Times New Roman"/>
            <w:sz w:val="20"/>
            <w:szCs w:val="20"/>
            <w:lang w:val="en"/>
          </w:rPr>
          <w:t>IG 2.4.A</w:t>
        </w:r>
      </w:hyperlink>
      <w:r w:rsidR="007E2533" w:rsidRPr="007E2533">
        <w:rPr>
          <w:rFonts w:ascii="Times New Roman" w:eastAsia="Times New Roman" w:hAnsi="Times New Roman" w:cs="Times New Roman"/>
          <w:sz w:val="20"/>
          <w:szCs w:val="20"/>
          <w:lang w:val="en"/>
        </w:rPr>
        <w:t xml:space="preserve">, “the term </w:t>
      </w:r>
      <w:r w:rsidR="007E2533" w:rsidRPr="007E2533">
        <w:rPr>
          <w:rFonts w:ascii="Times New Roman" w:eastAsia="Times New Roman" w:hAnsi="Times New Roman" w:cs="Times New Roman"/>
          <w:i/>
          <w:iCs/>
          <w:sz w:val="20"/>
          <w:szCs w:val="20"/>
          <w:lang w:val="en"/>
        </w:rPr>
        <w:t>security</w:t>
      </w:r>
      <w:r w:rsidR="007E2533" w:rsidRPr="007E2533">
        <w:rPr>
          <w:rFonts w:ascii="Times New Roman" w:eastAsia="Times New Roman" w:hAnsi="Times New Roman" w:cs="Times New Roman"/>
          <w:sz w:val="20"/>
          <w:szCs w:val="20"/>
          <w:lang w:val="en"/>
        </w:rPr>
        <w:t xml:space="preserve"> is not defined in the Terms and Definitions, but, within the scope of FIPS 140-3, is determined based on the Section 6 Functional Security Objectives, and the specific Section 7 Security Requirements derived from those objectives</w:t>
      </w:r>
      <w:r w:rsidRPr="006D412B">
        <w:rPr>
          <w:rFonts w:ascii="Times New Roman" w:eastAsia="Times New Roman" w:hAnsi="Times New Roman" w:cs="Times New Roman"/>
          <w:sz w:val="20"/>
          <w:szCs w:val="20"/>
          <w:lang w:val="en"/>
        </w:rPr>
        <w:t>.  The CSTL is responsible for identifying the documentation that is needed to determine whether a revalidation is sufficient, and the vendor is responsible for submitting the requested documentation to the CSTL.  Documentation may include a previous validation report, design documentation, source code, source code difference evidence, FSM, security policy differences, etc.</w:t>
      </w:r>
    </w:p>
    <w:tbl>
      <w:tblPr>
        <w:tblStyle w:val="TableGrid"/>
        <w:tblW w:w="0" w:type="auto"/>
        <w:tblLook w:val="04A0" w:firstRow="1" w:lastRow="0" w:firstColumn="1" w:lastColumn="0" w:noHBand="0" w:noVBand="1"/>
      </w:tblPr>
      <w:tblGrid>
        <w:gridCol w:w="4675"/>
        <w:gridCol w:w="4675"/>
      </w:tblGrid>
      <w:tr w:rsidR="00854943" w14:paraId="6C37591D" w14:textId="77777777" w:rsidTr="004A3162">
        <w:tc>
          <w:tcPr>
            <w:tcW w:w="4675" w:type="dxa"/>
            <w:shd w:val="clear" w:color="auto" w:fill="E7E6E6" w:themeFill="background2"/>
          </w:tcPr>
          <w:p w14:paraId="7CABCD28" w14:textId="77777777" w:rsidR="00854943" w:rsidRPr="00E2218C" w:rsidRDefault="00854943" w:rsidP="006A5562">
            <w:pPr>
              <w:spacing w:before="120" w:after="120"/>
              <w:rPr>
                <w:b/>
                <w:bCs/>
              </w:rPr>
            </w:pPr>
            <w:r w:rsidRPr="00E2218C">
              <w:rPr>
                <w:b/>
                <w:bCs/>
              </w:rPr>
              <w:t>Requirement</w:t>
            </w:r>
          </w:p>
        </w:tc>
        <w:tc>
          <w:tcPr>
            <w:tcW w:w="4675" w:type="dxa"/>
            <w:shd w:val="clear" w:color="auto" w:fill="E7E6E6" w:themeFill="background2"/>
          </w:tcPr>
          <w:p w14:paraId="65EA6526" w14:textId="0F71EB89" w:rsidR="00854943" w:rsidRPr="00E2218C" w:rsidRDefault="00E30624" w:rsidP="006A5562">
            <w:pPr>
              <w:spacing w:before="120" w:after="120"/>
              <w:rPr>
                <w:b/>
                <w:bCs/>
              </w:rPr>
            </w:pPr>
            <w:r>
              <w:rPr>
                <w:b/>
                <w:bCs/>
              </w:rPr>
              <w:t xml:space="preserve">CSTL </w:t>
            </w:r>
            <w:r w:rsidR="00854943">
              <w:rPr>
                <w:b/>
                <w:bCs/>
              </w:rPr>
              <w:t>Compliance evidence / justification</w:t>
            </w:r>
          </w:p>
        </w:tc>
      </w:tr>
      <w:tr w:rsidR="00854943" w14:paraId="37EE1F9E" w14:textId="77777777" w:rsidTr="004A3162">
        <w:tc>
          <w:tcPr>
            <w:tcW w:w="4675" w:type="dxa"/>
          </w:tcPr>
          <w:p w14:paraId="2262A679" w14:textId="67648B4A" w:rsidR="00854943" w:rsidRDefault="00D41044" w:rsidP="006A5562">
            <w:pPr>
              <w:spacing w:before="120" w:after="120"/>
            </w:pPr>
            <w:r>
              <w:t xml:space="preserve">CSTL </w:t>
            </w:r>
            <w:r w:rsidRPr="00D41044">
              <w:rPr>
                <w:b/>
                <w:bCs/>
                <w:color w:val="FF0000"/>
              </w:rPr>
              <w:t>shall</w:t>
            </w:r>
            <w:r w:rsidRPr="00D41044">
              <w:rPr>
                <w:color w:val="FF0000"/>
              </w:rPr>
              <w:t xml:space="preserve"> </w:t>
            </w:r>
            <w:r>
              <w:t>r</w:t>
            </w:r>
            <w:r w:rsidR="00625C3A" w:rsidRPr="00625C3A">
              <w:t>eview and independently verify the accuracy of the vendor-supplied documentation and identify any additional documentation necessary to confirm the applicability of this revalidation scenario.</w:t>
            </w:r>
          </w:p>
        </w:tc>
        <w:tc>
          <w:tcPr>
            <w:tcW w:w="4675" w:type="dxa"/>
          </w:tcPr>
          <w:p w14:paraId="3D992A07" w14:textId="7BDF2480" w:rsidR="00854943" w:rsidRDefault="00854943" w:rsidP="006A5562">
            <w:pPr>
              <w:spacing w:before="120" w:after="120"/>
            </w:pPr>
          </w:p>
        </w:tc>
      </w:tr>
      <w:tr w:rsidR="00854943" w14:paraId="5C45EDCA" w14:textId="77777777" w:rsidTr="004A3162">
        <w:tc>
          <w:tcPr>
            <w:tcW w:w="4675" w:type="dxa"/>
          </w:tcPr>
          <w:p w14:paraId="453FB868" w14:textId="5D482EEF" w:rsidR="00854943" w:rsidRDefault="00D41044" w:rsidP="006A5562">
            <w:pPr>
              <w:spacing w:before="120" w:after="120"/>
            </w:pPr>
            <w:r>
              <w:t xml:space="preserve">CSTL </w:t>
            </w:r>
            <w:r w:rsidRPr="00D41044">
              <w:rPr>
                <w:b/>
                <w:bCs/>
                <w:color w:val="FF0000"/>
              </w:rPr>
              <w:t>shall</w:t>
            </w:r>
            <w:r w:rsidRPr="00D41044">
              <w:rPr>
                <w:color w:val="FF0000"/>
              </w:rPr>
              <w:t xml:space="preserve"> </w:t>
            </w:r>
            <w:r>
              <w:t>de</w:t>
            </w:r>
            <w:r w:rsidR="00A278F8" w:rsidRPr="00A278F8">
              <w:t>termine additional testing as necessary to confirm that FIPS 140-3 security relevant items have not been affected by the modification.</w:t>
            </w:r>
          </w:p>
        </w:tc>
        <w:tc>
          <w:tcPr>
            <w:tcW w:w="4675" w:type="dxa"/>
          </w:tcPr>
          <w:p w14:paraId="3892369D" w14:textId="77777777" w:rsidR="00854943" w:rsidRDefault="00854943" w:rsidP="006A5562">
            <w:pPr>
              <w:spacing w:before="120" w:after="120"/>
            </w:pPr>
          </w:p>
        </w:tc>
      </w:tr>
      <w:tr w:rsidR="00854943" w14:paraId="7552C7BE" w14:textId="77777777" w:rsidTr="004A3162">
        <w:tc>
          <w:tcPr>
            <w:tcW w:w="4675" w:type="dxa"/>
          </w:tcPr>
          <w:p w14:paraId="09153552" w14:textId="47F75B22" w:rsidR="005734E5" w:rsidRPr="005734E5" w:rsidRDefault="005734E5" w:rsidP="006A5562">
            <w:pPr>
              <w:spacing w:before="120" w:after="120"/>
              <w:rPr>
                <w:rFonts w:eastAsia="Calibri"/>
                <w:color w:val="000000"/>
              </w:rPr>
            </w:pPr>
            <w:r>
              <w:rPr>
                <w:rFonts w:eastAsia="Calibri"/>
              </w:rPr>
              <w:t>I</w:t>
            </w:r>
            <w:r w:rsidRPr="005734E5">
              <w:rPr>
                <w:rFonts w:eastAsia="Calibri"/>
              </w:rPr>
              <w:t xml:space="preserve">dentify the assertions affected </w:t>
            </w:r>
            <w:r w:rsidRPr="005734E5">
              <w:t xml:space="preserve">by the modification </w:t>
            </w:r>
            <w:r w:rsidRPr="005734E5">
              <w:rPr>
                <w:rFonts w:eastAsia="Calibri"/>
              </w:rPr>
              <w:t xml:space="preserve">and </w:t>
            </w:r>
            <w:r w:rsidRPr="005734E5">
              <w:rPr>
                <w:rFonts w:eastAsia="Calibri"/>
                <w:b/>
                <w:bCs/>
                <w:color w:val="FF0000"/>
              </w:rPr>
              <w:t>shall</w:t>
            </w:r>
            <w:r w:rsidRPr="005734E5">
              <w:rPr>
                <w:rFonts w:eastAsia="Calibri"/>
              </w:rPr>
              <w:t xml:space="preserve"> perform the tests associated with those assertions.  This will require the </w:t>
            </w:r>
            <w:r w:rsidR="00157472">
              <w:rPr>
                <w:rFonts w:eastAsia="Calibri"/>
              </w:rPr>
              <w:t>CSTL</w:t>
            </w:r>
            <w:r w:rsidRPr="005734E5">
              <w:rPr>
                <w:rFonts w:eastAsia="Calibri"/>
              </w:rPr>
              <w:t xml:space="preserve"> to: </w:t>
            </w:r>
          </w:p>
          <w:p w14:paraId="0DAB4AC8" w14:textId="77777777" w:rsidR="005734E5" w:rsidRPr="005734E5" w:rsidRDefault="005734E5" w:rsidP="006A5562">
            <w:pPr>
              <w:numPr>
                <w:ilvl w:val="0"/>
                <w:numId w:val="5"/>
              </w:numPr>
              <w:spacing w:before="120" w:after="120"/>
              <w:rPr>
                <w:rFonts w:eastAsia="Calibri"/>
              </w:rPr>
            </w:pPr>
            <w:r w:rsidRPr="005734E5">
              <w:rPr>
                <w:rFonts w:eastAsia="Calibri"/>
              </w:rPr>
              <w:t xml:space="preserve">Review the COMPLETE list of assertions applicable to the module, </w:t>
            </w:r>
          </w:p>
          <w:p w14:paraId="7F6092C6" w14:textId="77777777" w:rsidR="005734E5" w:rsidRPr="005734E5" w:rsidRDefault="005734E5" w:rsidP="006A5562">
            <w:pPr>
              <w:numPr>
                <w:ilvl w:val="0"/>
                <w:numId w:val="5"/>
              </w:numPr>
              <w:spacing w:before="120" w:after="120"/>
              <w:rPr>
                <w:rFonts w:eastAsia="Calibri"/>
              </w:rPr>
            </w:pPr>
            <w:r w:rsidRPr="005734E5">
              <w:rPr>
                <w:rFonts w:eastAsia="Calibri"/>
              </w:rPr>
              <w:t xml:space="preserve">Identify, from the previous validation report, the assertions that have been affected by the modification, </w:t>
            </w:r>
          </w:p>
          <w:p w14:paraId="36EBB802" w14:textId="77777777" w:rsidR="005734E5" w:rsidRPr="005734E5" w:rsidRDefault="005734E5" w:rsidP="006A5562">
            <w:pPr>
              <w:numPr>
                <w:ilvl w:val="0"/>
                <w:numId w:val="5"/>
              </w:numPr>
              <w:spacing w:before="120" w:after="120"/>
              <w:rPr>
                <w:rFonts w:eastAsia="Calibri"/>
              </w:rPr>
            </w:pPr>
            <w:r w:rsidRPr="005734E5">
              <w:rPr>
                <w:rFonts w:eastAsia="Calibri"/>
              </w:rPr>
              <w:t xml:space="preserve">Identify additional assertions that were NOT previously tested but should now be tested due to the modification, and </w:t>
            </w:r>
          </w:p>
          <w:p w14:paraId="01C0468A" w14:textId="455B05EE" w:rsidR="00DA23E3" w:rsidRPr="005734E5" w:rsidRDefault="005734E5" w:rsidP="006A5562">
            <w:pPr>
              <w:numPr>
                <w:ilvl w:val="0"/>
                <w:numId w:val="5"/>
              </w:numPr>
              <w:spacing w:before="120" w:after="120"/>
              <w:rPr>
                <w:rFonts w:eastAsia="Calibri"/>
              </w:rPr>
            </w:pPr>
            <w:r w:rsidRPr="005734E5">
              <w:rPr>
                <w:rFonts w:eastAsia="Calibri"/>
              </w:rPr>
              <w:t>Review assertions where specific Implementation Guidance (IG) was provided at the time of the original validation to confirm that the IG is still applicable.</w:t>
            </w:r>
          </w:p>
        </w:tc>
        <w:tc>
          <w:tcPr>
            <w:tcW w:w="4675" w:type="dxa"/>
          </w:tcPr>
          <w:p w14:paraId="485EBBAD" w14:textId="77777777" w:rsidR="00854943" w:rsidRDefault="00854943" w:rsidP="006A5562">
            <w:pPr>
              <w:spacing w:before="120" w:after="120"/>
            </w:pPr>
          </w:p>
        </w:tc>
      </w:tr>
      <w:tr w:rsidR="005C4CA2" w14:paraId="6D449874" w14:textId="77777777" w:rsidTr="004A3162">
        <w:tc>
          <w:tcPr>
            <w:tcW w:w="4675" w:type="dxa"/>
          </w:tcPr>
          <w:p w14:paraId="66528268" w14:textId="5EA5D438" w:rsidR="005C4CA2" w:rsidRPr="000326A5" w:rsidRDefault="00C74FF6" w:rsidP="006A5562">
            <w:pPr>
              <w:spacing w:before="120" w:after="120"/>
            </w:pPr>
            <w:r w:rsidRPr="00C74FF6">
              <w:t>What changes are being proposed?</w:t>
            </w:r>
          </w:p>
        </w:tc>
        <w:tc>
          <w:tcPr>
            <w:tcW w:w="4675" w:type="dxa"/>
          </w:tcPr>
          <w:p w14:paraId="0661B40A" w14:textId="77777777" w:rsidR="005C4CA2" w:rsidRDefault="005C4CA2" w:rsidP="006A5562">
            <w:pPr>
              <w:spacing w:before="120" w:after="120"/>
            </w:pPr>
          </w:p>
        </w:tc>
      </w:tr>
      <w:tr w:rsidR="00B95824" w14:paraId="12AE3542" w14:textId="77777777" w:rsidTr="004A3162">
        <w:tc>
          <w:tcPr>
            <w:tcW w:w="4675" w:type="dxa"/>
          </w:tcPr>
          <w:p w14:paraId="10C8DE49" w14:textId="20D03039" w:rsidR="00B95824" w:rsidRDefault="00B95824" w:rsidP="006A5562">
            <w:pPr>
              <w:spacing w:before="120" w:after="120"/>
              <w:rPr>
                <w:rFonts w:eastAsia="Calibri"/>
              </w:rPr>
            </w:pPr>
            <w:r w:rsidRPr="000326A5">
              <w:t>What is the justification</w:t>
            </w:r>
            <w:r>
              <w:t xml:space="preserve"> that each change is considered</w:t>
            </w:r>
            <w:r w:rsidRPr="000326A5">
              <w:t xml:space="preserve"> non-security relevant</w:t>
            </w:r>
            <w:r w:rsidR="004851F3">
              <w:t>?</w:t>
            </w:r>
          </w:p>
        </w:tc>
        <w:tc>
          <w:tcPr>
            <w:tcW w:w="4675" w:type="dxa"/>
          </w:tcPr>
          <w:p w14:paraId="050457F0" w14:textId="77777777" w:rsidR="00B95824" w:rsidRDefault="00B95824" w:rsidP="006A5562">
            <w:pPr>
              <w:spacing w:before="120" w:after="120"/>
            </w:pPr>
          </w:p>
        </w:tc>
      </w:tr>
      <w:tr w:rsidR="00B95824" w14:paraId="6947F9DC" w14:textId="77777777" w:rsidTr="004A3162">
        <w:tc>
          <w:tcPr>
            <w:tcW w:w="4675" w:type="dxa"/>
          </w:tcPr>
          <w:p w14:paraId="082B454E" w14:textId="4ECDA853" w:rsidR="00B95824" w:rsidRPr="000326A5" w:rsidRDefault="006E5ADF" w:rsidP="006A5562">
            <w:pPr>
              <w:spacing w:before="120" w:after="120"/>
            </w:pPr>
            <w:r w:rsidRPr="006E5ADF">
              <w:t>Are changes made to: approved / allowed security functions/algorithms, SSPs, approved security services, self-tests, security states within the FSM, or other areas that affects how the module meets the security objectives and requirements of FIPS 140-3?</w:t>
            </w:r>
          </w:p>
        </w:tc>
        <w:tc>
          <w:tcPr>
            <w:tcW w:w="4675" w:type="dxa"/>
          </w:tcPr>
          <w:p w14:paraId="7F0E7914" w14:textId="77777777" w:rsidR="00B95824" w:rsidRDefault="00B95824" w:rsidP="006A5562">
            <w:pPr>
              <w:spacing w:before="120" w:after="120"/>
            </w:pPr>
          </w:p>
        </w:tc>
      </w:tr>
    </w:tbl>
    <w:p w14:paraId="029AB02D" w14:textId="1FC0198A" w:rsidR="0082087C" w:rsidRDefault="0082087C" w:rsidP="006A5562">
      <w:pPr>
        <w:spacing w:before="120" w:after="120" w:line="240" w:lineRule="auto"/>
        <w:rPr>
          <w:rFonts w:ascii="Times New Roman" w:eastAsia="Times New Roman" w:hAnsi="Times New Roman" w:cs="Times New Roman"/>
          <w:sz w:val="20"/>
          <w:szCs w:val="20"/>
        </w:rPr>
      </w:pPr>
    </w:p>
    <w:p w14:paraId="60ACE4E5"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699CB104" w14:textId="3113D3B0" w:rsidR="00811DB8" w:rsidRDefault="00811DB8" w:rsidP="00C361A2">
      <w:pPr>
        <w:pStyle w:val="Heading2"/>
        <w:numPr>
          <w:ilvl w:val="1"/>
          <w:numId w:val="12"/>
        </w:numPr>
        <w:spacing w:before="120" w:after="120" w:line="240" w:lineRule="auto"/>
        <w:rPr>
          <w:rFonts w:eastAsia="Times New Roman"/>
        </w:rPr>
      </w:pPr>
      <w:bookmarkStart w:id="6" w:name="_Toc161415369"/>
      <w:r>
        <w:rPr>
          <w:rFonts w:eastAsia="Times New Roman"/>
        </w:rPr>
        <w:lastRenderedPageBreak/>
        <w:t>ALG</w:t>
      </w:r>
      <w:bookmarkEnd w:id="6"/>
    </w:p>
    <w:p w14:paraId="18653808" w14:textId="63FF5801" w:rsidR="0014089E" w:rsidRPr="00045342" w:rsidRDefault="00045342" w:rsidP="0014089E">
      <w:pPr>
        <w:rPr>
          <w:rFonts w:ascii="Times New Roman" w:hAnsi="Times New Roman" w:cs="Times New Roman"/>
          <w:sz w:val="20"/>
          <w:szCs w:val="20"/>
        </w:rPr>
      </w:pPr>
      <w:r w:rsidRPr="00045342">
        <w:rPr>
          <w:rFonts w:ascii="Times New Roman" w:hAnsi="Times New Roman" w:cs="Times New Roman"/>
          <w:sz w:val="20"/>
          <w:szCs w:val="20"/>
          <w:lang w:val="en"/>
        </w:rPr>
        <w:t>Post validation, approved security relevant functions or services for which CAVP testing was not available (or vendor affirming was still permitted per the CMVP/CAVP transition schedule) at the time of submission to the CMVP for validation are now CAVP-tested and are being submitted for inclusion as an approved function or service. The CSTL is responsible for identifying the documentation that is needed to determine whether a revalidation is sufficient, and the vendor is responsible for submitting the requested documentation to the CSTL. Documentation may include a previous validation report and applicable CMVP rulings, design documentation, source code, security policy differences, etc.  Code or configuration changes are not permitted under this revalidation scenario.  For example, if self-tests are required for approved algorithms, the module must already support these self-tests. In essence, this means that ALG can only be used when a previously vendor affirmed or allowed algorithm now has CAVP testing available and already meets the algorithm requirements (e.g., self-tests).</w:t>
      </w:r>
    </w:p>
    <w:tbl>
      <w:tblPr>
        <w:tblStyle w:val="TableGrid"/>
        <w:tblW w:w="0" w:type="auto"/>
        <w:tblLook w:val="04A0" w:firstRow="1" w:lastRow="0" w:firstColumn="1" w:lastColumn="0" w:noHBand="0" w:noVBand="1"/>
      </w:tblPr>
      <w:tblGrid>
        <w:gridCol w:w="4675"/>
        <w:gridCol w:w="4675"/>
      </w:tblGrid>
      <w:tr w:rsidR="00811DB8" w14:paraId="2FFD52AC" w14:textId="77777777" w:rsidTr="004A3162">
        <w:tc>
          <w:tcPr>
            <w:tcW w:w="4675" w:type="dxa"/>
            <w:shd w:val="clear" w:color="auto" w:fill="E7E6E6" w:themeFill="background2"/>
          </w:tcPr>
          <w:p w14:paraId="19647C0A" w14:textId="77777777" w:rsidR="00811DB8" w:rsidRPr="00E2218C" w:rsidRDefault="00811DB8" w:rsidP="006A5562">
            <w:pPr>
              <w:spacing w:before="120" w:after="120"/>
              <w:rPr>
                <w:b/>
                <w:bCs/>
              </w:rPr>
            </w:pPr>
            <w:r w:rsidRPr="00E2218C">
              <w:rPr>
                <w:b/>
                <w:bCs/>
              </w:rPr>
              <w:t>Requirement</w:t>
            </w:r>
          </w:p>
        </w:tc>
        <w:tc>
          <w:tcPr>
            <w:tcW w:w="4675" w:type="dxa"/>
            <w:shd w:val="clear" w:color="auto" w:fill="E7E6E6" w:themeFill="background2"/>
          </w:tcPr>
          <w:p w14:paraId="3EF74ACC" w14:textId="75538975" w:rsidR="00811DB8" w:rsidRPr="00E2218C" w:rsidRDefault="00E30624" w:rsidP="006A5562">
            <w:pPr>
              <w:spacing w:before="120" w:after="120"/>
              <w:rPr>
                <w:b/>
                <w:bCs/>
              </w:rPr>
            </w:pPr>
            <w:r>
              <w:rPr>
                <w:b/>
                <w:bCs/>
              </w:rPr>
              <w:t xml:space="preserve">CSTL </w:t>
            </w:r>
            <w:r w:rsidR="00811DB8">
              <w:rPr>
                <w:b/>
                <w:bCs/>
              </w:rPr>
              <w:t>Compliance evidence / justification</w:t>
            </w:r>
          </w:p>
        </w:tc>
      </w:tr>
      <w:tr w:rsidR="00811DB8" w14:paraId="1E16561F" w14:textId="77777777" w:rsidTr="004A3162">
        <w:tc>
          <w:tcPr>
            <w:tcW w:w="4675" w:type="dxa"/>
          </w:tcPr>
          <w:p w14:paraId="24594CCE" w14:textId="74897DD7" w:rsidR="00811DB8" w:rsidRDefault="00B53BFA" w:rsidP="006A5562">
            <w:pPr>
              <w:spacing w:before="120" w:after="120"/>
            </w:pPr>
            <w:r w:rsidRPr="00B53BFA">
              <w:t xml:space="preserve">The CSTL </w:t>
            </w:r>
            <w:r w:rsidRPr="00B53BFA">
              <w:rPr>
                <w:b/>
                <w:bCs/>
                <w:color w:val="FF0000"/>
              </w:rPr>
              <w:t>shall</w:t>
            </w:r>
            <w:r>
              <w:t xml:space="preserve"> r</w:t>
            </w:r>
            <w:r w:rsidR="00811DB8" w:rsidRPr="00625C3A">
              <w:t>eview and independently verify the accuracy of the vendor-supplied documentation and identify any additional documentation necessary to confirm the applicability of this revalidation scenario.</w:t>
            </w:r>
          </w:p>
        </w:tc>
        <w:tc>
          <w:tcPr>
            <w:tcW w:w="4675" w:type="dxa"/>
          </w:tcPr>
          <w:p w14:paraId="10E436C8" w14:textId="77777777" w:rsidR="00811DB8" w:rsidRDefault="00811DB8" w:rsidP="006A5562">
            <w:pPr>
              <w:spacing w:before="120" w:after="120"/>
            </w:pPr>
          </w:p>
        </w:tc>
      </w:tr>
      <w:tr w:rsidR="00811DB8" w14:paraId="183F5EB6" w14:textId="77777777" w:rsidTr="004A3162">
        <w:tc>
          <w:tcPr>
            <w:tcW w:w="4675" w:type="dxa"/>
          </w:tcPr>
          <w:p w14:paraId="6C020F5E" w14:textId="079C7AF4" w:rsidR="002D3B21" w:rsidRPr="005734E5" w:rsidRDefault="00B53BFA" w:rsidP="006A5562">
            <w:pPr>
              <w:spacing w:before="120" w:after="120"/>
              <w:rPr>
                <w:rFonts w:eastAsia="Calibri"/>
                <w:color w:val="000000"/>
              </w:rPr>
            </w:pPr>
            <w:r w:rsidRPr="00B53BFA">
              <w:t xml:space="preserve">The CSTL </w:t>
            </w:r>
            <w:r w:rsidRPr="00B53BFA">
              <w:rPr>
                <w:b/>
                <w:bCs/>
                <w:color w:val="FF0000"/>
              </w:rPr>
              <w:t>shall</w:t>
            </w:r>
            <w:r>
              <w:rPr>
                <w:b/>
                <w:bCs/>
                <w:color w:val="FF0000"/>
              </w:rPr>
              <w:t xml:space="preserve"> </w:t>
            </w:r>
            <w:r>
              <w:rPr>
                <w:rFonts w:eastAsia="Calibri"/>
              </w:rPr>
              <w:t>id</w:t>
            </w:r>
            <w:r w:rsidR="002D3B21" w:rsidRPr="005734E5">
              <w:rPr>
                <w:rFonts w:eastAsia="Calibri"/>
              </w:rPr>
              <w:t xml:space="preserve">entify the assertions affected </w:t>
            </w:r>
            <w:r w:rsidR="002D3B21" w:rsidRPr="005734E5">
              <w:t xml:space="preserve">by the modification </w:t>
            </w:r>
            <w:r w:rsidR="002D3B21" w:rsidRPr="005734E5">
              <w:rPr>
                <w:rFonts w:eastAsia="Calibri"/>
              </w:rPr>
              <w:t xml:space="preserve">and </w:t>
            </w:r>
            <w:r w:rsidR="002D3B21" w:rsidRPr="005734E5">
              <w:rPr>
                <w:rFonts w:eastAsia="Calibri"/>
                <w:b/>
                <w:bCs/>
                <w:color w:val="FF0000"/>
              </w:rPr>
              <w:t>shall</w:t>
            </w:r>
            <w:r w:rsidR="002D3B21" w:rsidRPr="005734E5">
              <w:rPr>
                <w:rFonts w:eastAsia="Calibri"/>
              </w:rPr>
              <w:t xml:space="preserve"> perform the tests associated with those assertions.  This will require the </w:t>
            </w:r>
            <w:r w:rsidR="00157472">
              <w:rPr>
                <w:rFonts w:eastAsia="Calibri"/>
              </w:rPr>
              <w:t>CSTL</w:t>
            </w:r>
            <w:r w:rsidR="002D3B21" w:rsidRPr="005734E5">
              <w:rPr>
                <w:rFonts w:eastAsia="Calibri"/>
              </w:rPr>
              <w:t xml:space="preserve"> to: </w:t>
            </w:r>
          </w:p>
          <w:p w14:paraId="26147AE4" w14:textId="77777777" w:rsidR="002D3B21" w:rsidRPr="005734E5" w:rsidRDefault="002D3B21" w:rsidP="006A5562">
            <w:pPr>
              <w:numPr>
                <w:ilvl w:val="0"/>
                <w:numId w:val="5"/>
              </w:numPr>
              <w:spacing w:before="120" w:after="120"/>
              <w:rPr>
                <w:rFonts w:eastAsia="Calibri"/>
              </w:rPr>
            </w:pPr>
            <w:r w:rsidRPr="005734E5">
              <w:rPr>
                <w:rFonts w:eastAsia="Calibri"/>
              </w:rPr>
              <w:t xml:space="preserve">Review the COMPLETE list of assertions applicable to the module, </w:t>
            </w:r>
          </w:p>
          <w:p w14:paraId="7ABB4C79" w14:textId="77777777" w:rsidR="002D3B21" w:rsidRPr="005734E5" w:rsidRDefault="002D3B21" w:rsidP="006A5562">
            <w:pPr>
              <w:numPr>
                <w:ilvl w:val="0"/>
                <w:numId w:val="5"/>
              </w:numPr>
              <w:spacing w:before="120" w:after="120"/>
              <w:rPr>
                <w:rFonts w:eastAsia="Calibri"/>
              </w:rPr>
            </w:pPr>
            <w:r w:rsidRPr="005734E5">
              <w:rPr>
                <w:rFonts w:eastAsia="Calibri"/>
              </w:rPr>
              <w:t xml:space="preserve">Identify, from the previous validation report, the assertions that have been affected by the modification, </w:t>
            </w:r>
          </w:p>
          <w:p w14:paraId="4D817713" w14:textId="77777777" w:rsidR="002D3B21" w:rsidRDefault="002D3B21" w:rsidP="006A5562">
            <w:pPr>
              <w:numPr>
                <w:ilvl w:val="0"/>
                <w:numId w:val="5"/>
              </w:numPr>
              <w:spacing w:before="120" w:after="120"/>
              <w:rPr>
                <w:rFonts w:eastAsia="Calibri"/>
              </w:rPr>
            </w:pPr>
            <w:r w:rsidRPr="005734E5">
              <w:rPr>
                <w:rFonts w:eastAsia="Calibri"/>
              </w:rPr>
              <w:t xml:space="preserve">Identify additional assertions that were NOT previously tested but should now be tested due to the modification, and </w:t>
            </w:r>
          </w:p>
          <w:p w14:paraId="59F2B754" w14:textId="4A6E90F2" w:rsidR="00811DB8" w:rsidRPr="002D3B21" w:rsidRDefault="002828B4" w:rsidP="006A5562">
            <w:pPr>
              <w:numPr>
                <w:ilvl w:val="0"/>
                <w:numId w:val="5"/>
              </w:numPr>
              <w:spacing w:before="120" w:after="120"/>
              <w:rPr>
                <w:rFonts w:eastAsia="Calibri"/>
              </w:rPr>
            </w:pPr>
            <w:r w:rsidRPr="002828B4">
              <w:rPr>
                <w:rFonts w:eastAsia="Calibri"/>
              </w:rPr>
              <w:t xml:space="preserve">Review assertions where specific Implementation Guidance (IG) was provided at the time of the original validation to confirm that the module still meets the IG as it existed at the time of the original validation, except for IGs related to the newly tested algorithm where the latest IGs </w:t>
            </w:r>
            <w:r w:rsidRPr="002828B4">
              <w:rPr>
                <w:rFonts w:eastAsia="Calibri"/>
                <w:b/>
                <w:bCs/>
                <w:color w:val="FF0000"/>
              </w:rPr>
              <w:t>shall</w:t>
            </w:r>
            <w:r w:rsidRPr="002828B4">
              <w:rPr>
                <w:rFonts w:eastAsia="Calibri"/>
                <w:color w:val="FF0000"/>
              </w:rPr>
              <w:t xml:space="preserve"> </w:t>
            </w:r>
            <w:r w:rsidRPr="002828B4">
              <w:rPr>
                <w:rFonts w:eastAsia="Calibri"/>
              </w:rPr>
              <w:t>be met.</w:t>
            </w:r>
          </w:p>
        </w:tc>
        <w:tc>
          <w:tcPr>
            <w:tcW w:w="4675" w:type="dxa"/>
          </w:tcPr>
          <w:p w14:paraId="4F700A13" w14:textId="77777777" w:rsidR="00811DB8" w:rsidRDefault="00811DB8" w:rsidP="006A5562">
            <w:pPr>
              <w:spacing w:before="120" w:after="120"/>
            </w:pPr>
          </w:p>
        </w:tc>
      </w:tr>
    </w:tbl>
    <w:p w14:paraId="27A09568" w14:textId="3AF214B7" w:rsidR="00F7207E" w:rsidRDefault="00F7207E" w:rsidP="006A5562">
      <w:pPr>
        <w:spacing w:before="120" w:after="120" w:line="240" w:lineRule="auto"/>
        <w:rPr>
          <w:rFonts w:ascii="Times New Roman" w:eastAsia="Times New Roman" w:hAnsi="Times New Roman" w:cs="Times New Roman"/>
          <w:sz w:val="20"/>
          <w:szCs w:val="20"/>
        </w:rPr>
      </w:pPr>
    </w:p>
    <w:p w14:paraId="281DB41C"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14BEB5B2" w14:textId="63D61CDA" w:rsidR="00624C0E" w:rsidRDefault="00624C0E" w:rsidP="00C361A2">
      <w:pPr>
        <w:pStyle w:val="Heading2"/>
        <w:numPr>
          <w:ilvl w:val="1"/>
          <w:numId w:val="12"/>
        </w:numPr>
        <w:spacing w:before="120" w:after="120" w:line="240" w:lineRule="auto"/>
        <w:rPr>
          <w:rFonts w:eastAsia="Times New Roman"/>
        </w:rPr>
      </w:pPr>
      <w:bookmarkStart w:id="7" w:name="_Toc161415370"/>
      <w:r>
        <w:rPr>
          <w:rFonts w:eastAsia="Times New Roman"/>
        </w:rPr>
        <w:lastRenderedPageBreak/>
        <w:t>OEUP</w:t>
      </w:r>
      <w:bookmarkEnd w:id="7"/>
    </w:p>
    <w:p w14:paraId="5517C6D3" w14:textId="23385EA9" w:rsidR="00B3238A" w:rsidRPr="00B3238A" w:rsidRDefault="00B3238A" w:rsidP="00B3238A">
      <w:pPr>
        <w:rPr>
          <w:rFonts w:ascii="Times New Roman" w:hAnsi="Times New Roman" w:cs="Times New Roman"/>
          <w:sz w:val="20"/>
          <w:szCs w:val="20"/>
        </w:rPr>
      </w:pPr>
      <w:r w:rsidRPr="00B3238A">
        <w:rPr>
          <w:rFonts w:ascii="Times New Roman" w:hAnsi="Times New Roman" w:cs="Times New Roman"/>
          <w:sz w:val="20"/>
          <w:szCs w:val="20"/>
          <w:lang w:val="en"/>
        </w:rPr>
        <w:t xml:space="preserve">No changes to the module with an addition, modification, or deletion of tested operational environments (OEs).  Purely deleting OEs can be done as an NSRL, but deleting can be combined in an OEUP if also adding and/or modifying OEs. This requires CAVP-testing the algorithm validations on the new/modified OEs. </w:t>
      </w:r>
    </w:p>
    <w:tbl>
      <w:tblPr>
        <w:tblStyle w:val="TableGrid"/>
        <w:tblW w:w="0" w:type="auto"/>
        <w:tblLook w:val="04A0" w:firstRow="1" w:lastRow="0" w:firstColumn="1" w:lastColumn="0" w:noHBand="0" w:noVBand="1"/>
      </w:tblPr>
      <w:tblGrid>
        <w:gridCol w:w="4675"/>
        <w:gridCol w:w="4675"/>
      </w:tblGrid>
      <w:tr w:rsidR="00624C0E" w14:paraId="64D2DC91" w14:textId="77777777" w:rsidTr="00463B53">
        <w:tc>
          <w:tcPr>
            <w:tcW w:w="4675" w:type="dxa"/>
            <w:shd w:val="clear" w:color="auto" w:fill="E7E6E6" w:themeFill="background2"/>
          </w:tcPr>
          <w:p w14:paraId="734FD55F" w14:textId="77777777" w:rsidR="00624C0E" w:rsidRPr="00E2218C" w:rsidRDefault="00624C0E" w:rsidP="00463B53">
            <w:pPr>
              <w:spacing w:before="120" w:after="120"/>
              <w:rPr>
                <w:b/>
                <w:bCs/>
              </w:rPr>
            </w:pPr>
            <w:r w:rsidRPr="00E2218C">
              <w:rPr>
                <w:b/>
                <w:bCs/>
              </w:rPr>
              <w:t>Requirement</w:t>
            </w:r>
          </w:p>
        </w:tc>
        <w:tc>
          <w:tcPr>
            <w:tcW w:w="4675" w:type="dxa"/>
            <w:shd w:val="clear" w:color="auto" w:fill="E7E6E6" w:themeFill="background2"/>
          </w:tcPr>
          <w:p w14:paraId="58B9A3EF" w14:textId="77777777" w:rsidR="00624C0E" w:rsidRPr="00E2218C" w:rsidRDefault="00624C0E" w:rsidP="00463B53">
            <w:pPr>
              <w:spacing w:before="120" w:after="120"/>
              <w:rPr>
                <w:b/>
                <w:bCs/>
              </w:rPr>
            </w:pPr>
            <w:r>
              <w:rPr>
                <w:b/>
                <w:bCs/>
              </w:rPr>
              <w:t>CSTL Compliance evidence / justification</w:t>
            </w:r>
          </w:p>
        </w:tc>
      </w:tr>
      <w:tr w:rsidR="00624C0E" w14:paraId="25712622" w14:textId="77777777" w:rsidTr="00463B53">
        <w:tc>
          <w:tcPr>
            <w:tcW w:w="4675" w:type="dxa"/>
          </w:tcPr>
          <w:p w14:paraId="0864913A" w14:textId="5ECB7882" w:rsidR="00624C0E" w:rsidRPr="002840A9" w:rsidRDefault="002840A9" w:rsidP="00463B53">
            <w:pPr>
              <w:spacing w:before="120" w:after="120"/>
            </w:pPr>
            <w:r w:rsidRPr="002840A9">
              <w:rPr>
                <w:lang w:val="en"/>
              </w:rPr>
              <w:t xml:space="preserve">If an entropy source assessment is applicable per </w:t>
            </w:r>
            <w:hyperlink r:id="rId9" w:anchor="9.3.A%20Entropy%20Caveats" w:history="1">
              <w:r w:rsidRPr="002840A9">
                <w:rPr>
                  <w:color w:val="0000FF"/>
                  <w:u w:val="single"/>
                  <w:lang w:val="en"/>
                </w:rPr>
                <w:t>IG 9.3.A</w:t>
              </w:r>
            </w:hyperlink>
            <w:r w:rsidRPr="002840A9">
              <w:rPr>
                <w:lang w:val="en"/>
              </w:rPr>
              <w:t xml:space="preserve">, ESV(s) to cover all new/modified OEs and/or platforms </w:t>
            </w:r>
            <w:r w:rsidRPr="002840A9">
              <w:rPr>
                <w:b/>
                <w:bCs/>
                <w:color w:val="FF0000"/>
                <w:lang w:val="en"/>
              </w:rPr>
              <w:t>shall</w:t>
            </w:r>
            <w:r w:rsidRPr="002840A9">
              <w:rPr>
                <w:color w:val="FF0000"/>
                <w:lang w:val="en"/>
              </w:rPr>
              <w:t xml:space="preserve"> </w:t>
            </w:r>
            <w:r w:rsidRPr="002840A9">
              <w:rPr>
                <w:lang w:val="en"/>
              </w:rPr>
              <w:t>be submitted and validated separately prior to submission.</w:t>
            </w:r>
          </w:p>
        </w:tc>
        <w:tc>
          <w:tcPr>
            <w:tcW w:w="4675" w:type="dxa"/>
          </w:tcPr>
          <w:p w14:paraId="15241CCA" w14:textId="77777777" w:rsidR="00624C0E" w:rsidRDefault="00624C0E" w:rsidP="00463B53">
            <w:pPr>
              <w:spacing w:before="120" w:after="120"/>
            </w:pPr>
          </w:p>
        </w:tc>
      </w:tr>
      <w:tr w:rsidR="00624C0E" w14:paraId="5F942758" w14:textId="77777777" w:rsidTr="00463B53">
        <w:tc>
          <w:tcPr>
            <w:tcW w:w="4675" w:type="dxa"/>
          </w:tcPr>
          <w:p w14:paraId="00D0BB66" w14:textId="159B2EE8" w:rsidR="00624C0E" w:rsidRPr="002D3B21" w:rsidRDefault="0090662A" w:rsidP="00463B53">
            <w:pPr>
              <w:spacing w:before="120" w:after="120"/>
              <w:rPr>
                <w:rFonts w:eastAsia="Calibri"/>
              </w:rPr>
            </w:pPr>
            <w:r w:rsidRPr="001D326E">
              <w:rPr>
                <w:lang w:val="en"/>
              </w:rPr>
              <w:t xml:space="preserve">The CSTL </w:t>
            </w:r>
            <w:r w:rsidRPr="001D326E">
              <w:rPr>
                <w:b/>
                <w:bCs/>
                <w:color w:val="FF0000"/>
                <w:lang w:val="en"/>
              </w:rPr>
              <w:t>shall</w:t>
            </w:r>
            <w:r w:rsidRPr="001D326E">
              <w:rPr>
                <w:color w:val="FF0000"/>
                <w:lang w:val="en"/>
              </w:rPr>
              <w:t xml:space="preserve"> </w:t>
            </w:r>
            <w:r w:rsidRPr="001D326E">
              <w:rPr>
                <w:lang w:val="en"/>
              </w:rPr>
              <w:t xml:space="preserve">perform the full regression test suite shown on the </w:t>
            </w:r>
            <w:hyperlink r:id="rId10" w:history="1">
              <w:r w:rsidRPr="001D326E">
                <w:rPr>
                  <w:color w:val="0000FF"/>
                  <w:u w:val="single"/>
                  <w:lang w:val="en"/>
                </w:rPr>
                <w:t>CMVP website</w:t>
              </w:r>
            </w:hyperlink>
            <w:r w:rsidRPr="001D326E">
              <w:rPr>
                <w:lang w:val="en"/>
              </w:rPr>
              <w:t>.</w:t>
            </w:r>
          </w:p>
        </w:tc>
        <w:tc>
          <w:tcPr>
            <w:tcW w:w="4675" w:type="dxa"/>
          </w:tcPr>
          <w:p w14:paraId="62B1F1BF" w14:textId="77777777" w:rsidR="00624C0E" w:rsidRDefault="00624C0E" w:rsidP="00463B53">
            <w:pPr>
              <w:spacing w:before="120" w:after="120"/>
            </w:pPr>
          </w:p>
        </w:tc>
      </w:tr>
      <w:tr w:rsidR="00593602" w14:paraId="36759452" w14:textId="77777777" w:rsidTr="00463B53">
        <w:tc>
          <w:tcPr>
            <w:tcW w:w="4675" w:type="dxa"/>
          </w:tcPr>
          <w:p w14:paraId="1D2A01BC" w14:textId="10B5C163" w:rsidR="00593602" w:rsidRPr="001D326E" w:rsidRDefault="001851CC" w:rsidP="00463B53">
            <w:pPr>
              <w:spacing w:before="120" w:after="120"/>
              <w:rPr>
                <w:lang w:val="en"/>
              </w:rPr>
            </w:pPr>
            <w:r w:rsidRPr="001851CC">
              <w:rPr>
                <w:lang w:val="en"/>
              </w:rPr>
              <w:t xml:space="preserve">The only time code changes are allowed as part of an OEUP is if they are non-security relevant and necessary to correctly run the module on the new/modified OE (e.g., compilation flags or configuration options that need to be updated). No other changes are permitted (even to incorporate other non-security relevant changes such as bug fixes).  In this case, the CSTL selects the “Limited NSRL” sub-option in Web </w:t>
            </w:r>
            <w:proofErr w:type="spellStart"/>
            <w:r w:rsidRPr="001851CC">
              <w:rPr>
                <w:lang w:val="en"/>
              </w:rPr>
              <w:t>Cryptik</w:t>
            </w:r>
            <w:proofErr w:type="spellEnd"/>
            <w:r w:rsidRPr="001851CC">
              <w:rPr>
                <w:lang w:val="en"/>
              </w:rPr>
              <w:t xml:space="preserve"> after choosing the OEUP submission scenario.</w:t>
            </w:r>
          </w:p>
        </w:tc>
        <w:tc>
          <w:tcPr>
            <w:tcW w:w="4675" w:type="dxa"/>
          </w:tcPr>
          <w:p w14:paraId="6F915BA4" w14:textId="77777777" w:rsidR="00593602" w:rsidRDefault="00593602" w:rsidP="00463B53">
            <w:pPr>
              <w:spacing w:before="120" w:after="120"/>
            </w:pPr>
          </w:p>
        </w:tc>
      </w:tr>
    </w:tbl>
    <w:p w14:paraId="042447EE" w14:textId="77777777" w:rsidR="00624C0E" w:rsidRPr="00624C0E" w:rsidRDefault="00624C0E" w:rsidP="00624C0E"/>
    <w:p w14:paraId="2CD62775"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5CE380C4" w14:textId="169352A4" w:rsidR="005118FB" w:rsidRDefault="005118FB" w:rsidP="00C361A2">
      <w:pPr>
        <w:pStyle w:val="Heading2"/>
        <w:numPr>
          <w:ilvl w:val="1"/>
          <w:numId w:val="12"/>
        </w:numPr>
        <w:spacing w:before="120" w:after="120" w:line="240" w:lineRule="auto"/>
        <w:rPr>
          <w:rFonts w:eastAsia="Times New Roman"/>
        </w:rPr>
      </w:pPr>
      <w:bookmarkStart w:id="8" w:name="_Toc161415371"/>
      <w:r>
        <w:rPr>
          <w:rFonts w:eastAsia="Times New Roman"/>
        </w:rPr>
        <w:lastRenderedPageBreak/>
        <w:t>RBND</w:t>
      </w:r>
      <w:bookmarkEnd w:id="8"/>
    </w:p>
    <w:p w14:paraId="051013EE" w14:textId="23B00DE8" w:rsidR="0082040A" w:rsidRPr="0082040A" w:rsidRDefault="0082040A" w:rsidP="0082040A">
      <w:pPr>
        <w:rPr>
          <w:rFonts w:ascii="Times New Roman" w:hAnsi="Times New Roman" w:cs="Times New Roman"/>
          <w:sz w:val="20"/>
          <w:szCs w:val="20"/>
        </w:rPr>
      </w:pPr>
      <w:r w:rsidRPr="0082040A">
        <w:rPr>
          <w:rFonts w:ascii="Times New Roman" w:hAnsi="Times New Roman" w:cs="Times New Roman"/>
          <w:sz w:val="20"/>
          <w:szCs w:val="20"/>
          <w:lang w:val="en"/>
        </w:rPr>
        <w:t>This scenario applies if there are no modifications to a module and the new module is a re-branding of an already validated Original Equipment Manufacturer (OEM) module.</w:t>
      </w:r>
    </w:p>
    <w:tbl>
      <w:tblPr>
        <w:tblStyle w:val="TableGrid"/>
        <w:tblW w:w="0" w:type="auto"/>
        <w:tblLook w:val="04A0" w:firstRow="1" w:lastRow="0" w:firstColumn="1" w:lastColumn="0" w:noHBand="0" w:noVBand="1"/>
      </w:tblPr>
      <w:tblGrid>
        <w:gridCol w:w="4675"/>
        <w:gridCol w:w="4675"/>
      </w:tblGrid>
      <w:tr w:rsidR="005118FB" w14:paraId="714DF7CC" w14:textId="77777777" w:rsidTr="004A3162">
        <w:tc>
          <w:tcPr>
            <w:tcW w:w="4675" w:type="dxa"/>
            <w:shd w:val="clear" w:color="auto" w:fill="E7E6E6" w:themeFill="background2"/>
          </w:tcPr>
          <w:p w14:paraId="1ECFC52F" w14:textId="77777777" w:rsidR="005118FB" w:rsidRPr="00E2218C" w:rsidRDefault="005118FB" w:rsidP="006A5562">
            <w:pPr>
              <w:spacing w:before="120" w:after="120"/>
              <w:rPr>
                <w:b/>
                <w:bCs/>
              </w:rPr>
            </w:pPr>
            <w:r w:rsidRPr="00E2218C">
              <w:rPr>
                <w:b/>
                <w:bCs/>
              </w:rPr>
              <w:t>Requirement</w:t>
            </w:r>
          </w:p>
        </w:tc>
        <w:tc>
          <w:tcPr>
            <w:tcW w:w="4675" w:type="dxa"/>
            <w:shd w:val="clear" w:color="auto" w:fill="E7E6E6" w:themeFill="background2"/>
          </w:tcPr>
          <w:p w14:paraId="23CC57B8" w14:textId="0128315A" w:rsidR="005118FB" w:rsidRPr="00E2218C" w:rsidRDefault="00E30624" w:rsidP="006A5562">
            <w:pPr>
              <w:spacing w:before="120" w:after="120"/>
              <w:rPr>
                <w:b/>
                <w:bCs/>
              </w:rPr>
            </w:pPr>
            <w:r>
              <w:rPr>
                <w:b/>
                <w:bCs/>
              </w:rPr>
              <w:t xml:space="preserve">CSTL </w:t>
            </w:r>
            <w:r>
              <w:rPr>
                <w:b/>
                <w:bCs/>
              </w:rPr>
              <w:t>Compliance evidence / justification</w:t>
            </w:r>
          </w:p>
        </w:tc>
      </w:tr>
      <w:tr w:rsidR="005118FB" w14:paraId="50C46EC6" w14:textId="77777777" w:rsidTr="004A3162">
        <w:tc>
          <w:tcPr>
            <w:tcW w:w="4675" w:type="dxa"/>
          </w:tcPr>
          <w:p w14:paraId="572831A9" w14:textId="2C64FA75" w:rsidR="005118FB" w:rsidRDefault="00EB2609" w:rsidP="006A5562">
            <w:pPr>
              <w:spacing w:before="120" w:after="120"/>
            </w:pPr>
            <w:r w:rsidRPr="00EB2609">
              <w:t xml:space="preserve">The CSTL </w:t>
            </w:r>
            <w:r w:rsidRPr="00EB2609">
              <w:rPr>
                <w:b/>
                <w:bCs/>
                <w:color w:val="FF0000"/>
              </w:rPr>
              <w:t>shall</w:t>
            </w:r>
            <w:r w:rsidRPr="00EB2609">
              <w:rPr>
                <w:color w:val="FF0000"/>
              </w:rPr>
              <w:t xml:space="preserve"> </w:t>
            </w:r>
            <w:r w:rsidRPr="00EB2609">
              <w:t>include</w:t>
            </w:r>
            <w:r>
              <w:t xml:space="preserve"> t</w:t>
            </w:r>
            <w:r w:rsidR="006B7764" w:rsidRPr="006B7764">
              <w:t>he OEM’s written approval for re-branding in the submission package and determine that the re-branded module is identical to the OEM module (</w:t>
            </w:r>
            <w:proofErr w:type="spellStart"/>
            <w:r w:rsidR="006B7764" w:rsidRPr="006B7764">
              <w:t>n.b.</w:t>
            </w:r>
            <w:proofErr w:type="spellEnd"/>
            <w:r w:rsidR="006B7764" w:rsidRPr="006B7764">
              <w:t xml:space="preserve"> this requirement applies equally to open source and non-open-source modules).  Written approval </w:t>
            </w:r>
            <w:r w:rsidR="006B7764" w:rsidRPr="006B7764">
              <w:rPr>
                <w:b/>
                <w:bCs/>
                <w:color w:val="FF0000"/>
              </w:rPr>
              <w:t>shall</w:t>
            </w:r>
            <w:r w:rsidR="006B7764" w:rsidRPr="006B7764">
              <w:rPr>
                <w:color w:val="FF0000"/>
              </w:rPr>
              <w:t xml:space="preserve"> </w:t>
            </w:r>
            <w:r w:rsidR="006B7764" w:rsidRPr="006B7764">
              <w:t xml:space="preserve">note the terms of permission (e.g., subsequent addition of OEs, possible re-use of CAVP certificates, entropy, remediation of CVEs, non-security relevant changes, whether a rebrand of a rebrand is acceptable, etc.). </w:t>
            </w:r>
            <w:r w:rsidR="00DF0879" w:rsidRPr="00DF0879">
              <w:t xml:space="preserve">If these terms do not explicitly allow a vendor to further rebrand the OEM module, then a rebrand of that rebranded module is not permitted unless written permission is granted by the OEM.  </w:t>
            </w:r>
          </w:p>
        </w:tc>
        <w:tc>
          <w:tcPr>
            <w:tcW w:w="4675" w:type="dxa"/>
          </w:tcPr>
          <w:p w14:paraId="3C06179B" w14:textId="77777777" w:rsidR="005118FB" w:rsidRDefault="005118FB" w:rsidP="006A5562">
            <w:pPr>
              <w:spacing w:before="120" w:after="120"/>
            </w:pPr>
          </w:p>
        </w:tc>
      </w:tr>
      <w:tr w:rsidR="005118FB" w14:paraId="4A0BB28B" w14:textId="77777777" w:rsidTr="004A3162">
        <w:tc>
          <w:tcPr>
            <w:tcW w:w="4675" w:type="dxa"/>
          </w:tcPr>
          <w:p w14:paraId="2CAB74A7" w14:textId="39971577" w:rsidR="005118FB" w:rsidRPr="002D3B21" w:rsidRDefault="00100CDA" w:rsidP="006A5562">
            <w:pPr>
              <w:spacing w:before="120" w:after="120"/>
              <w:rPr>
                <w:rFonts w:eastAsia="Calibri"/>
              </w:rPr>
            </w:pPr>
            <w:r w:rsidRPr="00AD3B3E">
              <w:t xml:space="preserve">Additionally, for modules containing any open-source licensed code, the </w:t>
            </w:r>
            <w:r w:rsidR="00157472">
              <w:t>CSTL</w:t>
            </w:r>
            <w:r w:rsidRPr="00AD3B3E">
              <w:t xml:space="preserve"> </w:t>
            </w:r>
            <w:r w:rsidRPr="00CD5766">
              <w:rPr>
                <w:b/>
                <w:bCs/>
                <w:color w:val="FF0000"/>
              </w:rPr>
              <w:t>shall</w:t>
            </w:r>
            <w:r w:rsidRPr="00CD5766">
              <w:rPr>
                <w:color w:val="FF0000"/>
              </w:rPr>
              <w:t xml:space="preserve"> </w:t>
            </w:r>
            <w:r w:rsidRPr="00AD3B3E">
              <w:t xml:space="preserve">ensure the open-source licensing requirements are met (e.g., any required notices are contained in the Security Policy). The submission </w:t>
            </w:r>
            <w:r w:rsidRPr="00CD5766">
              <w:rPr>
                <w:b/>
                <w:bCs/>
                <w:color w:val="FF0000"/>
              </w:rPr>
              <w:t>shall</w:t>
            </w:r>
            <w:r w:rsidRPr="00CD5766">
              <w:rPr>
                <w:color w:val="FF0000"/>
              </w:rPr>
              <w:t xml:space="preserve"> </w:t>
            </w:r>
            <w:r w:rsidRPr="00AD3B3E">
              <w:t>include a letter requesting the validation of the re-branded module and indicate the applicable documentation changes (e.g., vendor name, address, POC information, versioning information, etc.)</w:t>
            </w:r>
            <w:r>
              <w:t>.</w:t>
            </w:r>
          </w:p>
        </w:tc>
        <w:tc>
          <w:tcPr>
            <w:tcW w:w="4675" w:type="dxa"/>
          </w:tcPr>
          <w:p w14:paraId="48A7022F" w14:textId="77777777" w:rsidR="005118FB" w:rsidRDefault="005118FB" w:rsidP="006A5562">
            <w:pPr>
              <w:spacing w:before="120" w:after="120"/>
            </w:pPr>
          </w:p>
        </w:tc>
      </w:tr>
      <w:tr w:rsidR="00C61967" w14:paraId="1E8732DD" w14:textId="77777777" w:rsidTr="004A3162">
        <w:tc>
          <w:tcPr>
            <w:tcW w:w="4675" w:type="dxa"/>
          </w:tcPr>
          <w:p w14:paraId="04B72139" w14:textId="0974BCBD" w:rsidR="00C61967" w:rsidRPr="00AD3B3E" w:rsidRDefault="002F5764" w:rsidP="006A5562">
            <w:pPr>
              <w:spacing w:before="120" w:after="120"/>
            </w:pPr>
            <w:r>
              <w:rPr>
                <w:lang w:val="en"/>
              </w:rPr>
              <w:t xml:space="preserve">A RBND </w:t>
            </w:r>
            <w:r w:rsidRPr="005E6F3B">
              <w:rPr>
                <w:b/>
                <w:bCs/>
                <w:color w:val="FF0000"/>
                <w:lang w:val="en"/>
              </w:rPr>
              <w:t>shall</w:t>
            </w:r>
            <w:r w:rsidRPr="005E6F3B">
              <w:rPr>
                <w:color w:val="FF0000"/>
                <w:lang w:val="en"/>
              </w:rPr>
              <w:t xml:space="preserve"> </w:t>
            </w:r>
            <w:r>
              <w:rPr>
                <w:lang w:val="en"/>
              </w:rPr>
              <w:t>i</w:t>
            </w:r>
            <w:r w:rsidRPr="00E004D0">
              <w:rPr>
                <w:lang w:val="en"/>
              </w:rPr>
              <w:t xml:space="preserve">nclude at least one OE from the original </w:t>
            </w:r>
            <w:r>
              <w:rPr>
                <w:lang w:val="en"/>
              </w:rPr>
              <w:t xml:space="preserve">validation and cannot include OEs that are not listed in the original validation. </w:t>
            </w:r>
          </w:p>
        </w:tc>
        <w:tc>
          <w:tcPr>
            <w:tcW w:w="4675" w:type="dxa"/>
          </w:tcPr>
          <w:p w14:paraId="00823711" w14:textId="77777777" w:rsidR="00C61967" w:rsidRDefault="00C61967" w:rsidP="006A5562">
            <w:pPr>
              <w:spacing w:before="120" w:after="120"/>
            </w:pPr>
          </w:p>
        </w:tc>
      </w:tr>
      <w:tr w:rsidR="002F5764" w14:paraId="4E1BBF71" w14:textId="77777777" w:rsidTr="004A3162">
        <w:tc>
          <w:tcPr>
            <w:tcW w:w="4675" w:type="dxa"/>
          </w:tcPr>
          <w:p w14:paraId="62704150" w14:textId="5E79635E" w:rsidR="002F5764" w:rsidRDefault="002F5764" w:rsidP="006A5562">
            <w:pPr>
              <w:spacing w:before="120" w:after="120"/>
              <w:rPr>
                <w:lang w:val="en"/>
              </w:rPr>
            </w:pPr>
            <w:r>
              <w:rPr>
                <w:lang w:val="en"/>
              </w:rPr>
              <w:t xml:space="preserve">CAVP testing </w:t>
            </w:r>
            <w:r w:rsidRPr="002072D9">
              <w:rPr>
                <w:b/>
                <w:bCs/>
                <w:color w:val="FF0000"/>
                <w:lang w:val="en"/>
              </w:rPr>
              <w:t>shall</w:t>
            </w:r>
            <w:r w:rsidRPr="002072D9">
              <w:rPr>
                <w:color w:val="FF0000"/>
                <w:lang w:val="en"/>
              </w:rPr>
              <w:t xml:space="preserve"> </w:t>
            </w:r>
            <w:r>
              <w:rPr>
                <w:lang w:val="en"/>
              </w:rPr>
              <w:t>cover all of the list OEs.</w:t>
            </w:r>
          </w:p>
        </w:tc>
        <w:tc>
          <w:tcPr>
            <w:tcW w:w="4675" w:type="dxa"/>
          </w:tcPr>
          <w:p w14:paraId="07868151" w14:textId="77777777" w:rsidR="002F5764" w:rsidRDefault="002F5764" w:rsidP="006A5562">
            <w:pPr>
              <w:spacing w:before="120" w:after="120"/>
            </w:pPr>
          </w:p>
        </w:tc>
      </w:tr>
      <w:tr w:rsidR="00AB1BC4" w14:paraId="5CA32061" w14:textId="77777777" w:rsidTr="004A3162">
        <w:tc>
          <w:tcPr>
            <w:tcW w:w="4675" w:type="dxa"/>
          </w:tcPr>
          <w:p w14:paraId="0B6BDF63" w14:textId="77777777" w:rsidR="007963BA" w:rsidRPr="007963BA" w:rsidRDefault="007963BA" w:rsidP="007963BA">
            <w:pPr>
              <w:widowControl w:val="0"/>
              <w:spacing w:before="120" w:after="120"/>
              <w:rPr>
                <w:lang w:val="en"/>
              </w:rPr>
            </w:pPr>
            <w:r w:rsidRPr="007963BA">
              <w:rPr>
                <w:lang w:val="en"/>
              </w:rPr>
              <w:t>The only time it is allowed to combine a RBND with other scenarios is as follows:</w:t>
            </w:r>
          </w:p>
          <w:p w14:paraId="446585EC" w14:textId="77777777" w:rsidR="007963BA" w:rsidRPr="007963BA" w:rsidRDefault="007963BA" w:rsidP="007963BA">
            <w:pPr>
              <w:widowControl w:val="0"/>
              <w:numPr>
                <w:ilvl w:val="0"/>
                <w:numId w:val="13"/>
              </w:numPr>
              <w:spacing w:before="120" w:after="120"/>
              <w:contextualSpacing/>
              <w:rPr>
                <w:lang w:val="en"/>
              </w:rPr>
            </w:pPr>
            <w:r w:rsidRPr="007963BA">
              <w:rPr>
                <w:lang w:val="en"/>
              </w:rPr>
              <w:t xml:space="preserve">A RBND may be combined with a PHYS only if physical changes are necessary to correctly rebrand the module.  For example, if the paint or coating on the hardware of the rebranded module is changed to reflect the new company's color schemes, and/or to change the vendor and product names on the enclosure. In this case, the CSTL selects the “PHYS” sub-option in Web </w:t>
            </w:r>
            <w:proofErr w:type="spellStart"/>
            <w:r w:rsidRPr="007963BA">
              <w:rPr>
                <w:lang w:val="en"/>
              </w:rPr>
              <w:t>Cryptik</w:t>
            </w:r>
            <w:proofErr w:type="spellEnd"/>
            <w:r w:rsidRPr="007963BA">
              <w:rPr>
                <w:lang w:val="en"/>
              </w:rPr>
              <w:t xml:space="preserve"> after choosing the RBND submission scenario.</w:t>
            </w:r>
          </w:p>
          <w:p w14:paraId="05CF87FA" w14:textId="77777777" w:rsidR="007963BA" w:rsidRPr="007963BA" w:rsidRDefault="007963BA" w:rsidP="007963BA">
            <w:pPr>
              <w:widowControl w:val="0"/>
              <w:spacing w:before="120" w:after="120"/>
              <w:ind w:left="720"/>
              <w:contextualSpacing/>
              <w:rPr>
                <w:lang w:val="en"/>
              </w:rPr>
            </w:pPr>
          </w:p>
          <w:p w14:paraId="05A0421D" w14:textId="77777777" w:rsidR="007963BA" w:rsidRPr="007963BA" w:rsidRDefault="007963BA" w:rsidP="007963BA">
            <w:pPr>
              <w:widowControl w:val="0"/>
              <w:numPr>
                <w:ilvl w:val="0"/>
                <w:numId w:val="13"/>
              </w:numPr>
              <w:spacing w:before="120" w:after="120"/>
              <w:contextualSpacing/>
              <w:rPr>
                <w:lang w:val="en"/>
              </w:rPr>
            </w:pPr>
            <w:r w:rsidRPr="007963BA">
              <w:rPr>
                <w:lang w:val="en"/>
              </w:rPr>
              <w:t xml:space="preserve">The only time code changes are allowed as part of a RBND is if they are necessary to correctly rebrand the module (e.g., to display the new module name/version/logo, or to use </w:t>
            </w:r>
            <w:r w:rsidRPr="007963BA">
              <w:rPr>
                <w:lang w:val="en"/>
              </w:rPr>
              <w:lastRenderedPageBreak/>
              <w:t xml:space="preserve">the new vendor's color schemes/visual aesthetics). No other changes are permitted (even to incorporate other non-security relevant changes such as bug fixes).  In this case, the CSTL selects the “Limited NSRL” sub-option in Web </w:t>
            </w:r>
            <w:proofErr w:type="spellStart"/>
            <w:r w:rsidRPr="007963BA">
              <w:rPr>
                <w:lang w:val="en"/>
              </w:rPr>
              <w:t>Cryptik</w:t>
            </w:r>
            <w:proofErr w:type="spellEnd"/>
            <w:r w:rsidRPr="007963BA">
              <w:rPr>
                <w:lang w:val="en"/>
              </w:rPr>
              <w:t xml:space="preserve"> after choosing the RBND submission scenario.</w:t>
            </w:r>
          </w:p>
          <w:p w14:paraId="7015002A" w14:textId="77777777" w:rsidR="007963BA" w:rsidRPr="007963BA" w:rsidRDefault="007963BA" w:rsidP="007963BA">
            <w:pPr>
              <w:widowControl w:val="0"/>
              <w:spacing w:before="120" w:after="120"/>
              <w:ind w:left="720"/>
              <w:contextualSpacing/>
              <w:rPr>
                <w:lang w:val="en"/>
              </w:rPr>
            </w:pPr>
          </w:p>
          <w:p w14:paraId="70B43CD9" w14:textId="77777777" w:rsidR="007963BA" w:rsidRPr="007963BA" w:rsidRDefault="007963BA" w:rsidP="007963BA">
            <w:pPr>
              <w:widowControl w:val="0"/>
              <w:numPr>
                <w:ilvl w:val="0"/>
                <w:numId w:val="13"/>
              </w:numPr>
              <w:spacing w:before="120" w:after="120"/>
              <w:contextualSpacing/>
              <w:rPr>
                <w:lang w:val="en"/>
              </w:rPr>
            </w:pPr>
            <w:r w:rsidRPr="007963BA">
              <w:rPr>
                <w:lang w:val="en"/>
              </w:rPr>
              <w:t xml:space="preserve">A vendor may reuse OEM’s CAVP certificates with proper permission.  But if the OEM does not permit the vendor to reuse the CAVP certificates, then the vendor will need to perform CAVP testing on all listed OEs.  If CAVP testing is redone, the CSTL selects the “CAVP Testing Redone” sub-option in Web </w:t>
            </w:r>
            <w:proofErr w:type="spellStart"/>
            <w:r w:rsidRPr="007963BA">
              <w:rPr>
                <w:lang w:val="en"/>
              </w:rPr>
              <w:t>Cryptik</w:t>
            </w:r>
            <w:proofErr w:type="spellEnd"/>
            <w:r w:rsidRPr="007963BA">
              <w:rPr>
                <w:lang w:val="en"/>
              </w:rPr>
              <w:t xml:space="preserve"> after choosing the RBND submission scenario.</w:t>
            </w:r>
          </w:p>
          <w:p w14:paraId="4D8F38C2" w14:textId="77777777" w:rsidR="007963BA" w:rsidRPr="007963BA" w:rsidRDefault="007963BA" w:rsidP="007963BA">
            <w:pPr>
              <w:widowControl w:val="0"/>
              <w:spacing w:before="120" w:after="120"/>
              <w:ind w:left="720"/>
              <w:contextualSpacing/>
              <w:rPr>
                <w:lang w:val="en"/>
              </w:rPr>
            </w:pPr>
          </w:p>
          <w:p w14:paraId="0A8141EC" w14:textId="77777777" w:rsidR="007963BA" w:rsidRPr="007963BA" w:rsidRDefault="007963BA" w:rsidP="007963BA">
            <w:pPr>
              <w:widowControl w:val="0"/>
              <w:numPr>
                <w:ilvl w:val="0"/>
                <w:numId w:val="13"/>
              </w:numPr>
              <w:spacing w:before="120" w:after="120"/>
              <w:contextualSpacing/>
              <w:rPr>
                <w:lang w:val="en"/>
              </w:rPr>
            </w:pPr>
            <w:r w:rsidRPr="007963BA">
              <w:rPr>
                <w:lang w:val="en"/>
              </w:rPr>
              <w:t xml:space="preserve">A RBND is almost guaranteed to be combined with a VUP to address the vendor changes so this will not be separately selectable in Web </w:t>
            </w:r>
            <w:proofErr w:type="spellStart"/>
            <w:r w:rsidRPr="007963BA">
              <w:rPr>
                <w:lang w:val="en"/>
              </w:rPr>
              <w:t>Cryptik</w:t>
            </w:r>
            <w:proofErr w:type="spellEnd"/>
            <w:r w:rsidRPr="007963BA">
              <w:rPr>
                <w:lang w:val="en"/>
              </w:rPr>
              <w:t>.</w:t>
            </w:r>
          </w:p>
          <w:p w14:paraId="498C534E" w14:textId="77777777" w:rsidR="00AB1BC4" w:rsidRPr="007963BA" w:rsidRDefault="00AB1BC4" w:rsidP="006A5562">
            <w:pPr>
              <w:spacing w:before="120" w:after="120"/>
              <w:rPr>
                <w:lang w:val="en"/>
              </w:rPr>
            </w:pPr>
          </w:p>
        </w:tc>
        <w:tc>
          <w:tcPr>
            <w:tcW w:w="4675" w:type="dxa"/>
          </w:tcPr>
          <w:p w14:paraId="2764AF3B" w14:textId="77777777" w:rsidR="00AB1BC4" w:rsidRDefault="00AB1BC4" w:rsidP="006A5562">
            <w:pPr>
              <w:spacing w:before="120" w:after="120"/>
            </w:pPr>
          </w:p>
        </w:tc>
      </w:tr>
      <w:tr w:rsidR="00DD5FB6" w14:paraId="694428DF" w14:textId="77777777" w:rsidTr="004A3162">
        <w:tc>
          <w:tcPr>
            <w:tcW w:w="4675" w:type="dxa"/>
          </w:tcPr>
          <w:p w14:paraId="271F7AB7" w14:textId="367EC20C" w:rsidR="00DD5FB6" w:rsidRDefault="00CA1199" w:rsidP="006A5562">
            <w:pPr>
              <w:spacing w:before="120" w:after="120"/>
              <w:rPr>
                <w:lang w:val="en"/>
              </w:rPr>
            </w:pPr>
            <w:r w:rsidRPr="001D326E">
              <w:rPr>
                <w:lang w:val="en"/>
              </w:rPr>
              <w:t xml:space="preserve">The CSTL </w:t>
            </w:r>
            <w:r w:rsidRPr="001D326E">
              <w:rPr>
                <w:b/>
                <w:color w:val="FF0000"/>
                <w:lang w:val="en"/>
              </w:rPr>
              <w:t>shall</w:t>
            </w:r>
            <w:r w:rsidRPr="001D326E">
              <w:rPr>
                <w:color w:val="C00000"/>
                <w:lang w:val="en"/>
              </w:rPr>
              <w:t xml:space="preserve"> </w:t>
            </w:r>
            <w:r w:rsidRPr="001D326E">
              <w:rPr>
                <w:lang w:val="en"/>
              </w:rPr>
              <w:t>provide an updated security policy which is technically identical to the originally validated security policy and describes the re-branded module.</w:t>
            </w:r>
          </w:p>
        </w:tc>
        <w:tc>
          <w:tcPr>
            <w:tcW w:w="4675" w:type="dxa"/>
          </w:tcPr>
          <w:p w14:paraId="7DB3795F" w14:textId="77777777" w:rsidR="00DD5FB6" w:rsidRDefault="00DD5FB6" w:rsidP="006A5562">
            <w:pPr>
              <w:spacing w:before="120" w:after="120"/>
            </w:pPr>
          </w:p>
        </w:tc>
      </w:tr>
    </w:tbl>
    <w:p w14:paraId="741175DC" w14:textId="56435C6F" w:rsidR="005118FB" w:rsidRDefault="005118FB" w:rsidP="006A5562">
      <w:pPr>
        <w:spacing w:before="120" w:after="120" w:line="240" w:lineRule="auto"/>
        <w:rPr>
          <w:rFonts w:ascii="Times New Roman" w:eastAsia="Times New Roman" w:hAnsi="Times New Roman" w:cs="Times New Roman"/>
          <w:sz w:val="20"/>
          <w:szCs w:val="20"/>
        </w:rPr>
      </w:pPr>
    </w:p>
    <w:p w14:paraId="602EF42C"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701FD7FF" w14:textId="2EB49117" w:rsidR="00E36B57" w:rsidRDefault="00E36B57" w:rsidP="00C361A2">
      <w:pPr>
        <w:pStyle w:val="Heading2"/>
        <w:numPr>
          <w:ilvl w:val="1"/>
          <w:numId w:val="12"/>
        </w:numPr>
        <w:spacing w:before="120" w:after="120" w:line="240" w:lineRule="auto"/>
        <w:rPr>
          <w:rFonts w:eastAsia="Times New Roman"/>
        </w:rPr>
      </w:pPr>
      <w:bookmarkStart w:id="9" w:name="_Toc161415372"/>
      <w:r w:rsidRPr="00530FA0">
        <w:rPr>
          <w:rFonts w:eastAsia="Times New Roman"/>
        </w:rPr>
        <w:lastRenderedPageBreak/>
        <w:t>PTSC</w:t>
      </w:r>
      <w:bookmarkEnd w:id="9"/>
    </w:p>
    <w:p w14:paraId="0EA5EF8E" w14:textId="482E5E23" w:rsidR="0020050C" w:rsidRPr="0020050C" w:rsidRDefault="0020050C" w:rsidP="0020050C">
      <w:pPr>
        <w:rPr>
          <w:sz w:val="20"/>
          <w:szCs w:val="20"/>
        </w:rPr>
      </w:pPr>
      <w:r w:rsidRPr="0020050C">
        <w:rPr>
          <w:rFonts w:ascii="Times New Roman" w:eastAsia="Times New Roman" w:hAnsi="Times New Roman" w:cs="Times New Roman"/>
          <w:color w:val="000000"/>
          <w:sz w:val="20"/>
          <w:szCs w:val="20"/>
        </w:rPr>
        <w:t xml:space="preserve">A sub-chip cryptographic subsystem that was previously validated in a single-chip (see </w:t>
      </w:r>
      <w:hyperlink r:id="rId11" w:anchor="2.3.B%20Sub-Chip%20Cryptographic%20Subsystems" w:history="1">
        <w:r w:rsidRPr="0020050C">
          <w:rPr>
            <w:rFonts w:ascii="Times New Roman" w:eastAsia="Times New Roman" w:hAnsi="Times New Roman" w:cs="Times New Roman"/>
            <w:color w:val="0000FF"/>
            <w:sz w:val="20"/>
            <w:szCs w:val="20"/>
            <w:u w:val="single"/>
          </w:rPr>
          <w:t>IG 2.3.B</w:t>
        </w:r>
      </w:hyperlink>
      <w:r w:rsidRPr="0020050C">
        <w:rPr>
          <w:rFonts w:ascii="Times New Roman" w:eastAsia="Times New Roman" w:hAnsi="Times New Roman" w:cs="Times New Roman"/>
          <w:color w:val="000000"/>
          <w:sz w:val="20"/>
          <w:szCs w:val="20"/>
        </w:rPr>
        <w:t xml:space="preserve">) can be ported to other single-chip constructs as a PTSC submission to the CMVP. </w:t>
      </w:r>
    </w:p>
    <w:tbl>
      <w:tblPr>
        <w:tblStyle w:val="TableGrid"/>
        <w:tblW w:w="0" w:type="auto"/>
        <w:tblLook w:val="04A0" w:firstRow="1" w:lastRow="0" w:firstColumn="1" w:lastColumn="0" w:noHBand="0" w:noVBand="1"/>
      </w:tblPr>
      <w:tblGrid>
        <w:gridCol w:w="4675"/>
        <w:gridCol w:w="4675"/>
      </w:tblGrid>
      <w:tr w:rsidR="00E36B57" w14:paraId="79EB9389" w14:textId="77777777" w:rsidTr="004A3162">
        <w:tc>
          <w:tcPr>
            <w:tcW w:w="4675" w:type="dxa"/>
            <w:shd w:val="clear" w:color="auto" w:fill="E7E6E6" w:themeFill="background2"/>
          </w:tcPr>
          <w:p w14:paraId="10AE3512" w14:textId="77777777" w:rsidR="00E36B57" w:rsidRPr="00E2218C" w:rsidRDefault="00E36B57" w:rsidP="006A5562">
            <w:pPr>
              <w:spacing w:before="120" w:after="120"/>
              <w:rPr>
                <w:b/>
                <w:bCs/>
              </w:rPr>
            </w:pPr>
            <w:r w:rsidRPr="00E2218C">
              <w:rPr>
                <w:b/>
                <w:bCs/>
              </w:rPr>
              <w:t>Requirement</w:t>
            </w:r>
          </w:p>
        </w:tc>
        <w:tc>
          <w:tcPr>
            <w:tcW w:w="4675" w:type="dxa"/>
            <w:shd w:val="clear" w:color="auto" w:fill="E7E6E6" w:themeFill="background2"/>
          </w:tcPr>
          <w:p w14:paraId="0636A884" w14:textId="36C20C52" w:rsidR="00E36B57" w:rsidRPr="00E2218C" w:rsidRDefault="00E30624" w:rsidP="006A5562">
            <w:pPr>
              <w:spacing w:before="120" w:after="120"/>
              <w:rPr>
                <w:b/>
                <w:bCs/>
              </w:rPr>
            </w:pPr>
            <w:r>
              <w:rPr>
                <w:b/>
                <w:bCs/>
              </w:rPr>
              <w:t>CSTL Compliance evidence / justification</w:t>
            </w:r>
          </w:p>
        </w:tc>
      </w:tr>
      <w:tr w:rsidR="00A361F1" w14:paraId="7738F836" w14:textId="77777777" w:rsidTr="004A3162">
        <w:tc>
          <w:tcPr>
            <w:tcW w:w="4675" w:type="dxa"/>
          </w:tcPr>
          <w:p w14:paraId="5D87E8D4" w14:textId="6BAFBE00" w:rsidR="00A361F1" w:rsidRDefault="00A361F1" w:rsidP="006A5562">
            <w:pPr>
              <w:spacing w:before="120" w:after="120"/>
            </w:pPr>
            <w:r w:rsidRPr="00C666D8">
              <w:rPr>
                <w:color w:val="000000"/>
              </w:rPr>
              <w:t xml:space="preserve">The CSTL </w:t>
            </w:r>
            <w:r w:rsidRPr="00C666D8">
              <w:rPr>
                <w:b/>
                <w:color w:val="FF0000"/>
              </w:rPr>
              <w:t xml:space="preserve">shall </w:t>
            </w:r>
            <w:r w:rsidRPr="00C666D8">
              <w:rPr>
                <w:color w:val="000000"/>
              </w:rPr>
              <w:t>verify that there are no security relevant changes in the sub-chip cryptographic subsystem;</w:t>
            </w:r>
          </w:p>
        </w:tc>
        <w:tc>
          <w:tcPr>
            <w:tcW w:w="4675" w:type="dxa"/>
          </w:tcPr>
          <w:p w14:paraId="41FBE2CF" w14:textId="77777777" w:rsidR="00A361F1" w:rsidRDefault="00A361F1" w:rsidP="006A5562">
            <w:pPr>
              <w:spacing w:before="120" w:after="120"/>
            </w:pPr>
          </w:p>
        </w:tc>
      </w:tr>
      <w:tr w:rsidR="00A361F1" w14:paraId="541B5BDA" w14:textId="77777777" w:rsidTr="004A3162">
        <w:tc>
          <w:tcPr>
            <w:tcW w:w="4675" w:type="dxa"/>
          </w:tcPr>
          <w:p w14:paraId="05104B00" w14:textId="77777777" w:rsidR="00A361F1" w:rsidRDefault="00A361F1" w:rsidP="006A5562">
            <w:pPr>
              <w:spacing w:before="120" w:after="120"/>
              <w:rPr>
                <w:color w:val="000000"/>
              </w:rPr>
            </w:pPr>
            <w:r w:rsidRPr="00C666D8">
              <w:rPr>
                <w:color w:val="000000"/>
              </w:rPr>
              <w:t xml:space="preserve">If an entropy source is contained within the sub-chip cryptographic subsystem, </w:t>
            </w:r>
            <w:r w:rsidRPr="00C666D8">
              <w:t xml:space="preserve">ESV(s) to cover all new single-chip environments </w:t>
            </w:r>
            <w:r w:rsidRPr="00C666D8">
              <w:rPr>
                <w:b/>
                <w:bCs/>
                <w:color w:val="FF0000"/>
              </w:rPr>
              <w:t>shall</w:t>
            </w:r>
            <w:r w:rsidRPr="00C666D8">
              <w:rPr>
                <w:color w:val="FF0000"/>
              </w:rPr>
              <w:t xml:space="preserve"> </w:t>
            </w:r>
            <w:r w:rsidRPr="00C666D8">
              <w:t>be submitted and validated separately prior to submission</w:t>
            </w:r>
            <w:r w:rsidRPr="00C666D8">
              <w:rPr>
                <w:color w:val="000000"/>
              </w:rPr>
              <w:t>;</w:t>
            </w:r>
          </w:p>
          <w:p w14:paraId="0916A7E6" w14:textId="77777777" w:rsidR="0056627B" w:rsidRDefault="0056627B" w:rsidP="006A5562">
            <w:pPr>
              <w:spacing w:before="120" w:after="120"/>
            </w:pPr>
            <w:r w:rsidRPr="0056627B">
              <w:rPr>
                <w:b/>
                <w:bCs/>
              </w:rPr>
              <w:t>Note 1</w:t>
            </w:r>
            <w:r>
              <w:t xml:space="preserve">: An ESV may not be required, if the entropy is collected outside the sub-chip cryptographic subsystem, depending on changes to the entropy source or the subsystem housing it. Please refer to IG 9.3.A and IG D.J for details on applicable caveats and entropy estimates. </w:t>
            </w:r>
          </w:p>
          <w:p w14:paraId="0B7E845D" w14:textId="4533CE63" w:rsidR="0056627B" w:rsidRDefault="0056627B" w:rsidP="006A5562">
            <w:pPr>
              <w:spacing w:before="120" w:after="120"/>
            </w:pPr>
            <w:r w:rsidRPr="0056627B">
              <w:rPr>
                <w:b/>
                <w:bCs/>
              </w:rPr>
              <w:t>Note 2</w:t>
            </w:r>
            <w:r>
              <w:t>: Single chip embodiments may implement an ESV or a DRBG linked to a dedicated entropy source inside the physical boundary. Such cases may be implemented (a) inside the sub-chip cryptographic subsystem or (b) in two or more sub-chip cryptographic subsystems. The case (b) represents multiple disjoint sub-chip cryptographic subsystems (see 3 of IG 2.3.B).</w:t>
            </w:r>
          </w:p>
        </w:tc>
        <w:tc>
          <w:tcPr>
            <w:tcW w:w="4675" w:type="dxa"/>
          </w:tcPr>
          <w:p w14:paraId="0FA8A700" w14:textId="77777777" w:rsidR="00A361F1" w:rsidRDefault="00A361F1" w:rsidP="006A5562">
            <w:pPr>
              <w:spacing w:before="120" w:after="120"/>
            </w:pPr>
          </w:p>
        </w:tc>
      </w:tr>
      <w:tr w:rsidR="007619B2" w14:paraId="6744EB55" w14:textId="77777777" w:rsidTr="004A3162">
        <w:tc>
          <w:tcPr>
            <w:tcW w:w="4675" w:type="dxa"/>
          </w:tcPr>
          <w:p w14:paraId="6A3E473A" w14:textId="77777777" w:rsidR="007619B2" w:rsidRDefault="009E2465" w:rsidP="006A5562">
            <w:pPr>
              <w:spacing w:before="120" w:after="120"/>
              <w:rPr>
                <w:color w:val="000000"/>
              </w:rPr>
            </w:pPr>
            <w:r w:rsidRPr="000018E0">
              <w:rPr>
                <w:color w:val="000000"/>
              </w:rPr>
              <w:t xml:space="preserve">Approved security functions </w:t>
            </w:r>
            <w:r w:rsidRPr="000018E0">
              <w:rPr>
                <w:b/>
                <w:color w:val="FF0000"/>
              </w:rPr>
              <w:t>shall</w:t>
            </w:r>
            <w:r w:rsidRPr="000018E0">
              <w:rPr>
                <w:color w:val="000000"/>
              </w:rPr>
              <w:t xml:space="preserve"> be retested and validated by the CAVP if implemented in a soft circuitry core recompiled in a different part configuration. </w:t>
            </w:r>
          </w:p>
          <w:p w14:paraId="18BC7E9B" w14:textId="69112018" w:rsidR="00E3791E" w:rsidRDefault="00E3791E" w:rsidP="006A5562">
            <w:pPr>
              <w:spacing w:before="120" w:after="120"/>
            </w:pPr>
            <w:r w:rsidRPr="000018E0">
              <w:rPr>
                <w:b/>
                <w:color w:val="000000"/>
              </w:rPr>
              <w:t>Note 3</w:t>
            </w:r>
            <w:r w:rsidRPr="000018E0">
              <w:rPr>
                <w:color w:val="000000"/>
              </w:rPr>
              <w:t xml:space="preserve">: If the original algorithm testing was performed as stated in the </w:t>
            </w:r>
            <w:hyperlink r:id="rId12" w:history="1">
              <w:r w:rsidRPr="000018E0">
                <w:rPr>
                  <w:color w:val="0000FF"/>
                  <w:u w:val="single"/>
                </w:rPr>
                <w:t>Management Manual</w:t>
              </w:r>
            </w:hyperlink>
            <w:r w:rsidRPr="000018E0">
              <w:t xml:space="preserve"> Section 7.</w:t>
            </w:r>
            <w:r>
              <w:t>3</w:t>
            </w:r>
            <w:r w:rsidRPr="000018E0">
              <w:t xml:space="preserve"> – </w:t>
            </w:r>
            <w:r w:rsidRPr="000018E0">
              <w:rPr>
                <w:i/>
                <w:iCs/>
              </w:rPr>
              <w:t>Testing using Emulators and Simulators</w:t>
            </w:r>
            <w:r w:rsidRPr="000018E0">
              <w:rPr>
                <w:color w:val="000000"/>
              </w:rPr>
              <w:t xml:space="preserve"> in a module simulator, and there is no change to the soft-core, no additional algorithm testing is required.</w:t>
            </w:r>
          </w:p>
        </w:tc>
        <w:tc>
          <w:tcPr>
            <w:tcW w:w="4675" w:type="dxa"/>
          </w:tcPr>
          <w:p w14:paraId="1251CD7D" w14:textId="77777777" w:rsidR="007619B2" w:rsidRDefault="007619B2" w:rsidP="006A5562">
            <w:pPr>
              <w:spacing w:before="120" w:after="120"/>
            </w:pPr>
          </w:p>
        </w:tc>
      </w:tr>
      <w:tr w:rsidR="00A948AE" w14:paraId="33F2DC9B" w14:textId="77777777" w:rsidTr="004A3162">
        <w:tc>
          <w:tcPr>
            <w:tcW w:w="4675" w:type="dxa"/>
          </w:tcPr>
          <w:p w14:paraId="1F8B6CCD" w14:textId="2AE8C30E" w:rsidR="00A948AE" w:rsidRDefault="00A948AE" w:rsidP="006A5562">
            <w:pPr>
              <w:spacing w:before="120" w:after="120"/>
            </w:pPr>
            <w:r w:rsidRPr="00573841">
              <w:rPr>
                <w:color w:val="000000"/>
              </w:rPr>
              <w:t xml:space="preserve">Full regression testing (see FIPS 140-3 </w:t>
            </w:r>
            <w:hyperlink r:id="rId13" w:history="1">
              <w:r w:rsidRPr="00573841">
                <w:rPr>
                  <w:color w:val="0000FF"/>
                  <w:u w:val="single"/>
                </w:rPr>
                <w:t>Resources page</w:t>
              </w:r>
            </w:hyperlink>
            <w:r w:rsidRPr="00573841">
              <w:rPr>
                <w:color w:val="000000"/>
              </w:rPr>
              <w:t xml:space="preserve">) </w:t>
            </w:r>
            <w:r w:rsidRPr="00573841">
              <w:rPr>
                <w:b/>
                <w:color w:val="FF0000"/>
              </w:rPr>
              <w:t>shall</w:t>
            </w:r>
            <w:r w:rsidRPr="00573841">
              <w:rPr>
                <w:color w:val="000000"/>
              </w:rPr>
              <w:t xml:space="preserve"> be performed on the new sub-chip cryptographic subsystem after fabrication (transformation of the HDL to a gate or physical circuitry representation);</w:t>
            </w:r>
          </w:p>
        </w:tc>
        <w:tc>
          <w:tcPr>
            <w:tcW w:w="4675" w:type="dxa"/>
          </w:tcPr>
          <w:p w14:paraId="42D9ADF1" w14:textId="77777777" w:rsidR="00A948AE" w:rsidRDefault="00A948AE" w:rsidP="006A5562">
            <w:pPr>
              <w:spacing w:before="120" w:after="120"/>
            </w:pPr>
          </w:p>
        </w:tc>
      </w:tr>
      <w:tr w:rsidR="00A948AE" w14:paraId="2B25F92B" w14:textId="77777777" w:rsidTr="004A3162">
        <w:tc>
          <w:tcPr>
            <w:tcW w:w="4675" w:type="dxa"/>
          </w:tcPr>
          <w:p w14:paraId="66C4AB10" w14:textId="3E8FCB46" w:rsidR="00A948AE" w:rsidRDefault="00A948AE" w:rsidP="006A5562">
            <w:pPr>
              <w:spacing w:before="120" w:after="120"/>
            </w:pPr>
            <w:r w:rsidRPr="00573841">
              <w:rPr>
                <w:rFonts w:eastAsia="Calibri"/>
                <w:b/>
                <w:bCs/>
              </w:rPr>
              <w:t>ISO/IEC 19790:2012</w:t>
            </w:r>
            <w:r w:rsidRPr="00573841">
              <w:rPr>
                <w:rFonts w:eastAsia="Calibri"/>
              </w:rPr>
              <w:t xml:space="preserve"> Section 7.3 </w:t>
            </w:r>
            <w:r w:rsidRPr="00573841">
              <w:rPr>
                <w:b/>
                <w:color w:val="FF0000"/>
              </w:rPr>
              <w:t xml:space="preserve">shall </w:t>
            </w:r>
            <w:r w:rsidRPr="00573841">
              <w:rPr>
                <w:color w:val="000000"/>
              </w:rPr>
              <w:t>be addressed for the new single-chip module for all Security Levels within this Section.</w:t>
            </w:r>
          </w:p>
        </w:tc>
        <w:tc>
          <w:tcPr>
            <w:tcW w:w="4675" w:type="dxa"/>
          </w:tcPr>
          <w:p w14:paraId="21E361A7" w14:textId="77777777" w:rsidR="00A948AE" w:rsidRDefault="00A948AE" w:rsidP="006A5562">
            <w:pPr>
              <w:spacing w:before="120" w:after="120"/>
            </w:pPr>
          </w:p>
        </w:tc>
      </w:tr>
      <w:tr w:rsidR="00A948AE" w14:paraId="747BF231" w14:textId="77777777" w:rsidTr="004A3162">
        <w:tc>
          <w:tcPr>
            <w:tcW w:w="4675" w:type="dxa"/>
          </w:tcPr>
          <w:p w14:paraId="5E92C370" w14:textId="2D761871" w:rsidR="00A948AE" w:rsidRDefault="00A948AE" w:rsidP="006A5562">
            <w:pPr>
              <w:spacing w:before="120" w:after="120"/>
            </w:pPr>
            <w:r w:rsidRPr="00573841">
              <w:rPr>
                <w:rFonts w:eastAsia="Calibri"/>
                <w:b/>
                <w:bCs/>
              </w:rPr>
              <w:t>ISO/IEC 19790:2012</w:t>
            </w:r>
            <w:r w:rsidRPr="00573841">
              <w:rPr>
                <w:rFonts w:eastAsia="Calibri"/>
              </w:rPr>
              <w:t xml:space="preserve"> Section 7.7</w:t>
            </w:r>
            <w:r w:rsidRPr="00573841">
              <w:rPr>
                <w:rFonts w:eastAsia="Calibri"/>
                <w:color w:val="0000FF"/>
              </w:rPr>
              <w:t xml:space="preserve"> </w:t>
            </w:r>
            <w:r w:rsidRPr="00573841">
              <w:rPr>
                <w:b/>
                <w:color w:val="FF0000"/>
              </w:rPr>
              <w:t xml:space="preserve">shall </w:t>
            </w:r>
            <w:r w:rsidRPr="00573841">
              <w:rPr>
                <w:color w:val="000000"/>
              </w:rPr>
              <w:t xml:space="preserve">be addressed for the new single-chip module at Security Level 1. </w:t>
            </w:r>
          </w:p>
        </w:tc>
        <w:tc>
          <w:tcPr>
            <w:tcW w:w="4675" w:type="dxa"/>
          </w:tcPr>
          <w:p w14:paraId="3F608285" w14:textId="77777777" w:rsidR="00A948AE" w:rsidRDefault="00A948AE" w:rsidP="006A5562">
            <w:pPr>
              <w:spacing w:before="120" w:after="120"/>
            </w:pPr>
          </w:p>
        </w:tc>
      </w:tr>
      <w:tr w:rsidR="00A948AE" w14:paraId="5F350DDE" w14:textId="77777777" w:rsidTr="004A3162">
        <w:tc>
          <w:tcPr>
            <w:tcW w:w="4675" w:type="dxa"/>
          </w:tcPr>
          <w:p w14:paraId="19FC4260" w14:textId="269482FD" w:rsidR="00A948AE" w:rsidRDefault="00A948AE" w:rsidP="006A5562">
            <w:pPr>
              <w:spacing w:before="120" w:after="120"/>
            </w:pPr>
            <w:r w:rsidRPr="00573841">
              <w:rPr>
                <w:b/>
                <w:bCs/>
              </w:rPr>
              <w:lastRenderedPageBreak/>
              <w:t>ISO/IEC 19790:2012</w:t>
            </w:r>
            <w:r w:rsidRPr="00573841">
              <w:t xml:space="preserve"> </w:t>
            </w:r>
            <w:r w:rsidRPr="00573841">
              <w:rPr>
                <w:rFonts w:eastAsia="Calibri"/>
              </w:rPr>
              <w:t xml:space="preserve">Sections </w:t>
            </w:r>
            <w:r w:rsidRPr="00573841">
              <w:t xml:space="preserve">7.11.2 and 7.11.9 </w:t>
            </w:r>
            <w:r w:rsidRPr="00573841">
              <w:rPr>
                <w:b/>
                <w:color w:val="FF0000"/>
              </w:rPr>
              <w:t xml:space="preserve">shall </w:t>
            </w:r>
            <w:r w:rsidRPr="00573841">
              <w:rPr>
                <w:color w:val="000000"/>
              </w:rPr>
              <w:t>be addressed for the new single-chip module for all Security Levels within this Section.</w:t>
            </w:r>
          </w:p>
        </w:tc>
        <w:tc>
          <w:tcPr>
            <w:tcW w:w="4675" w:type="dxa"/>
          </w:tcPr>
          <w:p w14:paraId="7D8B2C72" w14:textId="77777777" w:rsidR="00A948AE" w:rsidRDefault="00A948AE" w:rsidP="006A5562">
            <w:pPr>
              <w:spacing w:before="120" w:after="120"/>
            </w:pPr>
          </w:p>
        </w:tc>
      </w:tr>
      <w:tr w:rsidR="00A948AE" w14:paraId="44AE91A8" w14:textId="77777777" w:rsidTr="004A3162">
        <w:tc>
          <w:tcPr>
            <w:tcW w:w="4675" w:type="dxa"/>
          </w:tcPr>
          <w:p w14:paraId="3343DC14" w14:textId="2A71F8E1" w:rsidR="00A948AE" w:rsidRDefault="00A948AE" w:rsidP="006A5562">
            <w:pPr>
              <w:spacing w:before="120" w:after="120"/>
            </w:pPr>
            <w:r w:rsidRPr="00573841">
              <w:rPr>
                <w:color w:val="000000"/>
              </w:rPr>
              <w:t xml:space="preserve">A new Security Policy </w:t>
            </w:r>
            <w:r w:rsidRPr="00573841">
              <w:rPr>
                <w:b/>
                <w:color w:val="FF0000"/>
              </w:rPr>
              <w:t>shall</w:t>
            </w:r>
            <w:r w:rsidRPr="00573841">
              <w:rPr>
                <w:color w:val="000000"/>
              </w:rPr>
              <w:t xml:space="preserve"> be provided for the new single-chip module. </w:t>
            </w:r>
          </w:p>
        </w:tc>
        <w:tc>
          <w:tcPr>
            <w:tcW w:w="4675" w:type="dxa"/>
          </w:tcPr>
          <w:p w14:paraId="4D5EB0B9" w14:textId="77777777" w:rsidR="00A948AE" w:rsidRDefault="00A948AE" w:rsidP="006A5562">
            <w:pPr>
              <w:spacing w:before="120" w:after="120"/>
            </w:pPr>
          </w:p>
        </w:tc>
      </w:tr>
      <w:tr w:rsidR="00A948AE" w14:paraId="22D31F69" w14:textId="77777777" w:rsidTr="004A3162">
        <w:tc>
          <w:tcPr>
            <w:tcW w:w="4675" w:type="dxa"/>
          </w:tcPr>
          <w:p w14:paraId="0368219E" w14:textId="77777777" w:rsidR="00A948AE" w:rsidRDefault="00A948AE" w:rsidP="006A5562">
            <w:pPr>
              <w:spacing w:before="120" w:after="120"/>
              <w:rPr>
                <w:color w:val="000000"/>
              </w:rPr>
            </w:pPr>
            <w:r w:rsidRPr="00573841">
              <w:rPr>
                <w:color w:val="000000"/>
              </w:rPr>
              <w:t xml:space="preserve">Versioning information on the new certificate </w:t>
            </w:r>
            <w:r w:rsidRPr="00573841">
              <w:rPr>
                <w:b/>
                <w:color w:val="FF0000"/>
              </w:rPr>
              <w:t>shall</w:t>
            </w:r>
            <w:r w:rsidRPr="00573841">
              <w:rPr>
                <w:color w:val="FF0000"/>
              </w:rPr>
              <w:t xml:space="preserve"> </w:t>
            </w:r>
            <w:r w:rsidRPr="00573841">
              <w:rPr>
                <w:color w:val="000000"/>
              </w:rPr>
              <w:t>be provided for:</w:t>
            </w:r>
          </w:p>
          <w:p w14:paraId="4A7D9322" w14:textId="02B1DF1B" w:rsidR="006A5562" w:rsidRPr="006A5562" w:rsidRDefault="006A5562" w:rsidP="006A5562">
            <w:pPr>
              <w:pStyle w:val="ListParagraph"/>
              <w:numPr>
                <w:ilvl w:val="0"/>
                <w:numId w:val="5"/>
              </w:numPr>
              <w:spacing w:before="120" w:after="120"/>
              <w:contextualSpacing w:val="0"/>
            </w:pPr>
            <w:r w:rsidRPr="006A5562">
              <w:t>the new physical single-chip,</w:t>
            </w:r>
          </w:p>
          <w:p w14:paraId="4E826601" w14:textId="36DEEDBD" w:rsidR="006A5562" w:rsidRPr="006A5562" w:rsidRDefault="006A5562" w:rsidP="006A5562">
            <w:pPr>
              <w:pStyle w:val="ListParagraph"/>
              <w:numPr>
                <w:ilvl w:val="0"/>
                <w:numId w:val="5"/>
              </w:numPr>
              <w:spacing w:before="120" w:after="120"/>
              <w:contextualSpacing w:val="0"/>
            </w:pPr>
            <w:r w:rsidRPr="006A5562">
              <w:t xml:space="preserve">non-security relevant single-chip functional subsystem firmware if applicable, </w:t>
            </w:r>
          </w:p>
          <w:p w14:paraId="7B90085B" w14:textId="6F7BE9A4" w:rsidR="006A5562" w:rsidRPr="006A5562" w:rsidRDefault="006A5562" w:rsidP="006A5562">
            <w:pPr>
              <w:pStyle w:val="ListParagraph"/>
              <w:numPr>
                <w:ilvl w:val="0"/>
                <w:numId w:val="5"/>
              </w:numPr>
              <w:spacing w:before="120" w:after="120"/>
              <w:contextualSpacing w:val="0"/>
            </w:pPr>
            <w:r w:rsidRPr="006A5562">
              <w:t>the sub-chip cryptographic subsystem soft and hard circuitry cores (which are unchanged from the original validation), and</w:t>
            </w:r>
          </w:p>
          <w:p w14:paraId="7837F05A" w14:textId="256F0DD2" w:rsidR="006A5562" w:rsidRPr="006A5562" w:rsidRDefault="006A5562" w:rsidP="006A5562">
            <w:pPr>
              <w:pStyle w:val="ListParagraph"/>
              <w:numPr>
                <w:ilvl w:val="0"/>
                <w:numId w:val="11"/>
              </w:numPr>
              <w:spacing w:before="120" w:after="120"/>
              <w:contextualSpacing w:val="0"/>
            </w:pPr>
            <w:r w:rsidRPr="006A5562">
              <w:t>the associated firmware.</w:t>
            </w:r>
          </w:p>
        </w:tc>
        <w:tc>
          <w:tcPr>
            <w:tcW w:w="4675" w:type="dxa"/>
          </w:tcPr>
          <w:p w14:paraId="150CB046" w14:textId="77777777" w:rsidR="00A948AE" w:rsidRDefault="00A948AE" w:rsidP="006A5562">
            <w:pPr>
              <w:spacing w:before="120" w:after="120"/>
            </w:pPr>
          </w:p>
        </w:tc>
      </w:tr>
      <w:tr w:rsidR="000B55B8" w14:paraId="51C86A23" w14:textId="77777777" w:rsidTr="004A3162">
        <w:tc>
          <w:tcPr>
            <w:tcW w:w="4675" w:type="dxa"/>
          </w:tcPr>
          <w:p w14:paraId="2EB4965D" w14:textId="326A9EF1" w:rsidR="000B55B8" w:rsidRPr="00573841" w:rsidRDefault="004F1834" w:rsidP="006A5562">
            <w:pPr>
              <w:spacing w:before="120" w:after="120"/>
              <w:rPr>
                <w:color w:val="000000"/>
              </w:rPr>
            </w:pPr>
            <w:r w:rsidRPr="004F1834">
              <w:rPr>
                <w:color w:val="000000"/>
              </w:rPr>
              <w:t xml:space="preserve">The only time code changes are allowed as part of an PTSC is if they are non-security relevant and necessary to correctly run the module on the new/modified single chip environment (e.g., compilation flags or configuration options that need to be updated). No other changes are permitted (even to incorporate other non-security relevant changes such as bug fixes).  In this case, the CSTL selects the “Limited NSRL” sub-option in Web </w:t>
            </w:r>
            <w:proofErr w:type="spellStart"/>
            <w:r w:rsidRPr="004F1834">
              <w:rPr>
                <w:color w:val="000000"/>
              </w:rPr>
              <w:t>Cryptik</w:t>
            </w:r>
            <w:proofErr w:type="spellEnd"/>
            <w:r w:rsidRPr="004F1834">
              <w:rPr>
                <w:color w:val="000000"/>
              </w:rPr>
              <w:t xml:space="preserve"> after choosing the PTSC submission scenario.</w:t>
            </w:r>
          </w:p>
        </w:tc>
        <w:tc>
          <w:tcPr>
            <w:tcW w:w="4675" w:type="dxa"/>
          </w:tcPr>
          <w:p w14:paraId="60F929E0" w14:textId="77777777" w:rsidR="000B55B8" w:rsidRDefault="000B55B8" w:rsidP="006A5562">
            <w:pPr>
              <w:spacing w:before="120" w:after="120"/>
            </w:pPr>
          </w:p>
        </w:tc>
      </w:tr>
    </w:tbl>
    <w:p w14:paraId="713DEFA7" w14:textId="322D6655" w:rsidR="00E36B57" w:rsidRDefault="00E36B57" w:rsidP="006A5562">
      <w:pPr>
        <w:spacing w:before="120" w:after="120" w:line="240" w:lineRule="auto"/>
        <w:rPr>
          <w:rFonts w:ascii="Times New Roman" w:eastAsia="Times New Roman" w:hAnsi="Times New Roman" w:cs="Times New Roman"/>
          <w:sz w:val="20"/>
          <w:szCs w:val="20"/>
        </w:rPr>
      </w:pPr>
    </w:p>
    <w:p w14:paraId="12906876"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3F86483D" w14:textId="045A2D81" w:rsidR="001B4009" w:rsidRDefault="001B4009" w:rsidP="00C361A2">
      <w:pPr>
        <w:pStyle w:val="Heading2"/>
        <w:numPr>
          <w:ilvl w:val="1"/>
          <w:numId w:val="12"/>
        </w:numPr>
        <w:spacing w:before="120" w:after="120" w:line="240" w:lineRule="auto"/>
        <w:rPr>
          <w:rFonts w:eastAsia="Times New Roman"/>
        </w:rPr>
      </w:pPr>
      <w:bookmarkStart w:id="10" w:name="_Toc161415373"/>
      <w:r>
        <w:rPr>
          <w:rFonts w:eastAsia="Times New Roman"/>
        </w:rPr>
        <w:lastRenderedPageBreak/>
        <w:t>UPDT</w:t>
      </w:r>
      <w:bookmarkEnd w:id="10"/>
    </w:p>
    <w:p w14:paraId="39A11679" w14:textId="6E8029E5" w:rsidR="000F7F28" w:rsidRDefault="000F7F28" w:rsidP="000F7F28">
      <w:pPr>
        <w:rPr>
          <w:rFonts w:ascii="Times New Roman" w:eastAsia="Times New Roman" w:hAnsi="Times New Roman" w:cs="Times New Roman"/>
          <w:sz w:val="20"/>
          <w:szCs w:val="20"/>
        </w:rPr>
      </w:pPr>
      <w:r w:rsidRPr="000F7F28">
        <w:rPr>
          <w:rFonts w:ascii="Times New Roman" w:eastAsia="Times New Roman" w:hAnsi="Times New Roman" w:cs="Times New Roman"/>
          <w:sz w:val="20"/>
          <w:szCs w:val="20"/>
          <w:lang w:val="en"/>
        </w:rPr>
        <w:t xml:space="preserve">Modifications are made to hardware, software or firmware components </w:t>
      </w:r>
      <w:r w:rsidRPr="000F7F28">
        <w:rPr>
          <w:rFonts w:ascii="Times New Roman" w:eastAsia="Times New Roman" w:hAnsi="Times New Roman" w:cs="Times New Roman"/>
          <w:b/>
          <w:bCs/>
          <w:sz w:val="20"/>
          <w:szCs w:val="20"/>
          <w:lang w:val="en"/>
        </w:rPr>
        <w:t xml:space="preserve">that affect some of the FIPS 140-3 </w:t>
      </w:r>
      <w:r w:rsidRPr="000F7F28">
        <w:rPr>
          <w:rFonts w:ascii="Times New Roman" w:eastAsia="Times New Roman" w:hAnsi="Times New Roman" w:cs="Times New Roman"/>
          <w:b/>
          <w:bCs/>
          <w:sz w:val="20"/>
          <w:szCs w:val="20"/>
        </w:rPr>
        <w:t>security relevant items</w:t>
      </w:r>
      <w:r w:rsidRPr="000F7F28">
        <w:rPr>
          <w:rFonts w:ascii="Times New Roman" w:eastAsia="Times New Roman" w:hAnsi="Times New Roman" w:cs="Times New Roman"/>
          <w:sz w:val="20"/>
          <w:szCs w:val="20"/>
        </w:rPr>
        <w:t xml:space="preserve">. </w:t>
      </w:r>
      <w:r w:rsidRPr="000F7F28">
        <w:rPr>
          <w:rFonts w:ascii="Times New Roman" w:eastAsia="Times New Roman" w:hAnsi="Times New Roman" w:cs="Times New Roman"/>
          <w:sz w:val="20"/>
          <w:szCs w:val="20"/>
          <w:lang w:val="en"/>
        </w:rPr>
        <w:t xml:space="preserve">Per </w:t>
      </w:r>
      <w:hyperlink r:id="rId14" w:anchor="2.4.A%20Definition%20and%20Use%20of%20a%20non-Approved%20Security%20Function" w:history="1">
        <w:r w:rsidRPr="000F7F28">
          <w:rPr>
            <w:rFonts w:ascii="Times New Roman" w:eastAsia="Times New Roman" w:hAnsi="Times New Roman" w:cs="Times New Roman"/>
            <w:color w:val="0000FF"/>
            <w:sz w:val="20"/>
            <w:szCs w:val="20"/>
            <w:u w:val="single"/>
            <w:lang w:val="en"/>
          </w:rPr>
          <w:t>IG 2.4.A</w:t>
        </w:r>
      </w:hyperlink>
      <w:r w:rsidRPr="000F7F28">
        <w:rPr>
          <w:rFonts w:ascii="Times New Roman" w:eastAsia="Times New Roman" w:hAnsi="Times New Roman" w:cs="Times New Roman"/>
          <w:sz w:val="20"/>
          <w:szCs w:val="20"/>
          <w:lang w:val="en"/>
        </w:rPr>
        <w:t xml:space="preserve">, “the term </w:t>
      </w:r>
      <w:r w:rsidRPr="000F7F28">
        <w:rPr>
          <w:rFonts w:ascii="Times New Roman" w:eastAsia="Times New Roman" w:hAnsi="Times New Roman" w:cs="Times New Roman"/>
          <w:i/>
          <w:iCs/>
          <w:sz w:val="20"/>
          <w:szCs w:val="20"/>
          <w:lang w:val="en"/>
        </w:rPr>
        <w:t>security</w:t>
      </w:r>
      <w:r w:rsidRPr="000F7F28">
        <w:rPr>
          <w:rFonts w:ascii="Times New Roman" w:eastAsia="Times New Roman" w:hAnsi="Times New Roman" w:cs="Times New Roman"/>
          <w:sz w:val="20"/>
          <w:szCs w:val="20"/>
          <w:lang w:val="en"/>
        </w:rPr>
        <w:t xml:space="preserve"> is not defined in the Terms and Definitions, but, within the scope of FIPS 140-3, is determined based on the Section 6 Functional Security Objectives, and the specific Section 7 Security Requirements derived from those objectives. </w:t>
      </w:r>
      <w:r w:rsidRPr="000F7F28">
        <w:rPr>
          <w:rFonts w:ascii="Times New Roman" w:eastAsia="Times New Roman" w:hAnsi="Times New Roman" w:cs="Times New Roman"/>
          <w:sz w:val="20"/>
          <w:szCs w:val="20"/>
        </w:rPr>
        <w:t>An updated cryptographic module can be considered in this scenario if less than a 30% of security changes were made to the module.</w:t>
      </w:r>
      <w:r w:rsidR="00A9577B">
        <w:rPr>
          <w:rFonts w:ascii="Times New Roman" w:eastAsia="Times New Roman" w:hAnsi="Times New Roman" w:cs="Times New Roman"/>
          <w:sz w:val="20"/>
          <w:szCs w:val="20"/>
        </w:rPr>
        <w:t xml:space="preserve"> </w:t>
      </w:r>
    </w:p>
    <w:p w14:paraId="6D431D56" w14:textId="454A9C77" w:rsidR="009E6E89" w:rsidRPr="009E6E89" w:rsidRDefault="009E6E89" w:rsidP="000F7F28">
      <w:pPr>
        <w:rPr>
          <w:rFonts w:ascii="Times New Roman" w:hAnsi="Times New Roman" w:cs="Times New Roman"/>
          <w:sz w:val="20"/>
          <w:szCs w:val="20"/>
        </w:rPr>
      </w:pPr>
      <w:r w:rsidRPr="009E6E89">
        <w:rPr>
          <w:rFonts w:ascii="Times New Roman" w:hAnsi="Times New Roman" w:cs="Times New Roman"/>
          <w:sz w:val="20"/>
          <w:szCs w:val="20"/>
        </w:rPr>
        <w:t>The CSTL is responsible for identifying the documentation that is needed to determine whether a revalidation is sufficient, and the vendor is responsible for submitting the requested documentation to the CSTL. Documentation may include a previous validation report and applicable CMVP rulings, design documentation, source code, source code difference evidence, FSM etc.</w:t>
      </w:r>
    </w:p>
    <w:tbl>
      <w:tblPr>
        <w:tblStyle w:val="TableGrid"/>
        <w:tblW w:w="0" w:type="auto"/>
        <w:tblLook w:val="04A0" w:firstRow="1" w:lastRow="0" w:firstColumn="1" w:lastColumn="0" w:noHBand="0" w:noVBand="1"/>
      </w:tblPr>
      <w:tblGrid>
        <w:gridCol w:w="4675"/>
        <w:gridCol w:w="4675"/>
      </w:tblGrid>
      <w:tr w:rsidR="001B4009" w14:paraId="0FF561C3" w14:textId="77777777" w:rsidTr="004A3162">
        <w:tc>
          <w:tcPr>
            <w:tcW w:w="4675" w:type="dxa"/>
            <w:shd w:val="clear" w:color="auto" w:fill="E7E6E6" w:themeFill="background2"/>
          </w:tcPr>
          <w:p w14:paraId="1D8E17B1" w14:textId="77777777" w:rsidR="001B4009" w:rsidRPr="00E2218C" w:rsidRDefault="001B4009" w:rsidP="006A5562">
            <w:pPr>
              <w:spacing w:before="120" w:after="120"/>
              <w:rPr>
                <w:b/>
                <w:bCs/>
              </w:rPr>
            </w:pPr>
            <w:r w:rsidRPr="00E2218C">
              <w:rPr>
                <w:b/>
                <w:bCs/>
              </w:rPr>
              <w:t>Requirement</w:t>
            </w:r>
          </w:p>
        </w:tc>
        <w:tc>
          <w:tcPr>
            <w:tcW w:w="4675" w:type="dxa"/>
            <w:shd w:val="clear" w:color="auto" w:fill="E7E6E6" w:themeFill="background2"/>
          </w:tcPr>
          <w:p w14:paraId="6F2F985F" w14:textId="6237861A" w:rsidR="001B4009" w:rsidRPr="00E2218C" w:rsidRDefault="00E30624" w:rsidP="006A5562">
            <w:pPr>
              <w:spacing w:before="120" w:after="120"/>
              <w:rPr>
                <w:b/>
                <w:bCs/>
              </w:rPr>
            </w:pPr>
            <w:r>
              <w:rPr>
                <w:b/>
                <w:bCs/>
              </w:rPr>
              <w:t>CSTL Compliance evidence / justification</w:t>
            </w:r>
          </w:p>
        </w:tc>
      </w:tr>
      <w:tr w:rsidR="00203E72" w14:paraId="4A1E0BA8" w14:textId="77777777" w:rsidTr="004A3162">
        <w:tc>
          <w:tcPr>
            <w:tcW w:w="4675" w:type="dxa"/>
          </w:tcPr>
          <w:p w14:paraId="2AE2A88A" w14:textId="2DA982C2" w:rsidR="007E0FB4" w:rsidRDefault="001E62C6" w:rsidP="006A5562">
            <w:pPr>
              <w:spacing w:before="120" w:after="120"/>
            </w:pPr>
            <w:r>
              <w:t xml:space="preserve">The CSTL </w:t>
            </w:r>
            <w:r w:rsidRPr="001E62C6">
              <w:rPr>
                <w:b/>
                <w:bCs/>
                <w:color w:val="FF0000"/>
              </w:rPr>
              <w:t>shall</w:t>
            </w:r>
            <w:r w:rsidRPr="001E62C6">
              <w:rPr>
                <w:color w:val="FF0000"/>
              </w:rPr>
              <w:t xml:space="preserve"> </w:t>
            </w:r>
            <w:r>
              <w:t>p</w:t>
            </w:r>
            <w:r w:rsidR="00071BCF" w:rsidRPr="00A53980">
              <w:t>rovide a summary of the changes and rationale of why this meets the &lt;30% guideline.</w:t>
            </w:r>
            <w:r w:rsidR="007E0FB4">
              <w:t xml:space="preserve">  </w:t>
            </w:r>
            <w:r w:rsidR="007E0FB4" w:rsidRPr="00A53980">
              <w:t xml:space="preserve">The CMVP upon review, may determine that the changes are &gt;30% and </w:t>
            </w:r>
            <w:r w:rsidR="007E0FB4" w:rsidRPr="00A53980">
              <w:rPr>
                <w:b/>
                <w:color w:val="FF0000"/>
              </w:rPr>
              <w:t>shall</w:t>
            </w:r>
            <w:r w:rsidR="007E0FB4" w:rsidRPr="00A53980">
              <w:t xml:space="preserve"> be submitted as a</w:t>
            </w:r>
            <w:r w:rsidR="007E0FB4">
              <w:t>n FS</w:t>
            </w:r>
            <w:r w:rsidR="007E0FB4" w:rsidRPr="00A53980">
              <w:t>.</w:t>
            </w:r>
          </w:p>
          <w:p w14:paraId="53B42305" w14:textId="244ECF4B" w:rsidR="00203E72" w:rsidRDefault="001E62C6" w:rsidP="006A5562">
            <w:pPr>
              <w:spacing w:before="120" w:after="120"/>
            </w:pPr>
            <w:r w:rsidRPr="00A9577B">
              <w:t xml:space="preserve">Security changes include impacts to: approved / allowed security functions/algorithms, SSPs, approved security services, self-tests, and security states within the FSM.  None of these, assessed individually, can exceed 30% of changes.  The individual ratios for each of these </w:t>
            </w:r>
            <w:r w:rsidRPr="00A9577B">
              <w:rPr>
                <w:b/>
                <w:bCs/>
                <w:color w:val="FF0000"/>
              </w:rPr>
              <w:t>shall</w:t>
            </w:r>
            <w:r w:rsidRPr="00A9577B">
              <w:rPr>
                <w:color w:val="FF0000"/>
              </w:rPr>
              <w:t xml:space="preserve"> </w:t>
            </w:r>
            <w:r w:rsidRPr="00A9577B">
              <w:t>be provided to the CMVP within the Change Document (e.g., 2 approved security services out of 10 total results in 20% change).</w:t>
            </w:r>
            <w:r w:rsidR="00203E72">
              <w:t xml:space="preserve"> </w:t>
            </w:r>
          </w:p>
        </w:tc>
        <w:tc>
          <w:tcPr>
            <w:tcW w:w="4675" w:type="dxa"/>
          </w:tcPr>
          <w:p w14:paraId="40B064F6" w14:textId="77777777" w:rsidR="00203E72" w:rsidRDefault="00203E72" w:rsidP="006A5562">
            <w:pPr>
              <w:spacing w:before="120" w:after="120"/>
            </w:pPr>
          </w:p>
        </w:tc>
      </w:tr>
      <w:tr w:rsidR="00203E72" w14:paraId="0DFDBCEE" w14:textId="77777777" w:rsidTr="004A3162">
        <w:tc>
          <w:tcPr>
            <w:tcW w:w="4675" w:type="dxa"/>
          </w:tcPr>
          <w:p w14:paraId="7DB20125" w14:textId="4A44BC69" w:rsidR="00203E72" w:rsidRDefault="00203E72" w:rsidP="006A5562">
            <w:pPr>
              <w:spacing w:before="120" w:after="120"/>
            </w:pPr>
            <w:r>
              <w:t>R</w:t>
            </w:r>
            <w:r w:rsidRPr="00625C3A">
              <w:t>eview and independently verify the accuracy of the vendor-supplied documentation and identify any additional documentation necessary to confirm the applicability of this revalidation scenario.</w:t>
            </w:r>
          </w:p>
        </w:tc>
        <w:tc>
          <w:tcPr>
            <w:tcW w:w="4675" w:type="dxa"/>
          </w:tcPr>
          <w:p w14:paraId="30E2F5D5" w14:textId="77777777" w:rsidR="00203E72" w:rsidRDefault="00203E72" w:rsidP="006A5562">
            <w:pPr>
              <w:spacing w:before="120" w:after="120"/>
            </w:pPr>
          </w:p>
        </w:tc>
      </w:tr>
      <w:tr w:rsidR="00203E72" w14:paraId="3941A30B" w14:textId="77777777" w:rsidTr="004A3162">
        <w:tc>
          <w:tcPr>
            <w:tcW w:w="4675" w:type="dxa"/>
          </w:tcPr>
          <w:p w14:paraId="772AB586" w14:textId="6FD119E6" w:rsidR="00CF1A00" w:rsidRPr="00CF1A00" w:rsidRDefault="00CF1A00" w:rsidP="006A5562">
            <w:pPr>
              <w:spacing w:before="120" w:after="120"/>
              <w:rPr>
                <w:rFonts w:eastAsia="Calibri"/>
                <w:color w:val="000000"/>
              </w:rPr>
            </w:pPr>
            <w:r>
              <w:rPr>
                <w:rFonts w:eastAsia="Calibri"/>
              </w:rPr>
              <w:t>I</w:t>
            </w:r>
            <w:r w:rsidRPr="00CF1A00">
              <w:rPr>
                <w:rFonts w:eastAsia="Calibri"/>
              </w:rPr>
              <w:t xml:space="preserve">dentify the assertions affected </w:t>
            </w:r>
            <w:r w:rsidRPr="00CF1A00">
              <w:t xml:space="preserve">by the modification </w:t>
            </w:r>
            <w:r w:rsidRPr="00CF1A00">
              <w:rPr>
                <w:rFonts w:eastAsia="Calibri"/>
              </w:rPr>
              <w:t xml:space="preserve">and </w:t>
            </w:r>
            <w:r w:rsidRPr="00CF1A00">
              <w:rPr>
                <w:rFonts w:eastAsia="Calibri"/>
                <w:b/>
                <w:bCs/>
                <w:color w:val="FF0000"/>
              </w:rPr>
              <w:t>shall</w:t>
            </w:r>
            <w:r w:rsidRPr="00CF1A00">
              <w:rPr>
                <w:rFonts w:eastAsia="Calibri"/>
              </w:rPr>
              <w:t xml:space="preserve"> perform the tests associated with those assertions.  This will require the </w:t>
            </w:r>
            <w:r w:rsidR="00157472">
              <w:rPr>
                <w:rFonts w:eastAsia="Calibri"/>
              </w:rPr>
              <w:t>CSTL</w:t>
            </w:r>
            <w:r w:rsidRPr="00CF1A00">
              <w:rPr>
                <w:rFonts w:eastAsia="Calibri"/>
              </w:rPr>
              <w:t xml:space="preserve"> to: </w:t>
            </w:r>
          </w:p>
          <w:p w14:paraId="3C82C732" w14:textId="77777777" w:rsidR="00CF1A00" w:rsidRPr="00CF1A00" w:rsidRDefault="00CF1A00" w:rsidP="006A5562">
            <w:pPr>
              <w:numPr>
                <w:ilvl w:val="0"/>
                <w:numId w:val="5"/>
              </w:numPr>
              <w:spacing w:before="120" w:after="120"/>
              <w:rPr>
                <w:rFonts w:eastAsia="Calibri"/>
              </w:rPr>
            </w:pPr>
            <w:r w:rsidRPr="00CF1A00">
              <w:rPr>
                <w:rFonts w:eastAsia="Calibri"/>
              </w:rPr>
              <w:t xml:space="preserve">Review the COMPLETE list of assertions applicable to the module, </w:t>
            </w:r>
          </w:p>
          <w:p w14:paraId="0020AA33" w14:textId="77777777" w:rsidR="00CF1A00" w:rsidRPr="00CF1A00" w:rsidRDefault="00CF1A00" w:rsidP="006A5562">
            <w:pPr>
              <w:numPr>
                <w:ilvl w:val="0"/>
                <w:numId w:val="5"/>
              </w:numPr>
              <w:spacing w:before="120" w:after="120"/>
              <w:rPr>
                <w:rFonts w:eastAsia="Calibri"/>
              </w:rPr>
            </w:pPr>
            <w:r w:rsidRPr="00CF1A00">
              <w:rPr>
                <w:rFonts w:eastAsia="Calibri"/>
              </w:rPr>
              <w:t xml:space="preserve">Identify, from the previous validation report, the assertions that have been affected by the modification, </w:t>
            </w:r>
          </w:p>
          <w:p w14:paraId="002E22A0" w14:textId="77777777" w:rsidR="00CF1A00" w:rsidRPr="00CF1A00" w:rsidRDefault="00CF1A00" w:rsidP="006A5562">
            <w:pPr>
              <w:numPr>
                <w:ilvl w:val="0"/>
                <w:numId w:val="5"/>
              </w:numPr>
              <w:spacing w:before="120" w:after="120"/>
              <w:rPr>
                <w:rFonts w:eastAsia="Calibri"/>
              </w:rPr>
            </w:pPr>
            <w:r w:rsidRPr="00CF1A00">
              <w:rPr>
                <w:rFonts w:eastAsia="Calibri"/>
              </w:rPr>
              <w:t xml:space="preserve">Identify additional assertions that were NOT previously tested but should now be tested due to the modification, and </w:t>
            </w:r>
          </w:p>
          <w:p w14:paraId="04F2FB2B" w14:textId="7C62F449" w:rsidR="00CF1A00" w:rsidRPr="00CF1A00" w:rsidRDefault="003B50AD" w:rsidP="006A5562">
            <w:pPr>
              <w:numPr>
                <w:ilvl w:val="0"/>
                <w:numId w:val="5"/>
              </w:numPr>
              <w:spacing w:before="120" w:after="120"/>
              <w:rPr>
                <w:rFonts w:eastAsia="Calibri"/>
              </w:rPr>
            </w:pPr>
            <w:r w:rsidRPr="003B50AD">
              <w:rPr>
                <w:rFonts w:eastAsia="Calibri"/>
              </w:rPr>
              <w:t>Review assertions where specific Implementation Guidance (IG) was provided to confirm that the module meets all current applicable IGs.</w:t>
            </w:r>
          </w:p>
          <w:p w14:paraId="3E5C5EB6" w14:textId="6834EE21" w:rsidR="00203E72" w:rsidRDefault="00203E72" w:rsidP="006A5562">
            <w:pPr>
              <w:spacing w:before="120" w:after="120"/>
              <w:rPr>
                <w:rFonts w:eastAsia="Calibri"/>
              </w:rPr>
            </w:pPr>
          </w:p>
        </w:tc>
        <w:tc>
          <w:tcPr>
            <w:tcW w:w="4675" w:type="dxa"/>
          </w:tcPr>
          <w:p w14:paraId="78AA5311" w14:textId="77777777" w:rsidR="00203E72" w:rsidRDefault="00203E72" w:rsidP="006A5562">
            <w:pPr>
              <w:spacing w:before="120" w:after="120"/>
            </w:pPr>
          </w:p>
        </w:tc>
      </w:tr>
      <w:tr w:rsidR="009D3151" w14:paraId="17CFF04F" w14:textId="77777777" w:rsidTr="004A3162">
        <w:tc>
          <w:tcPr>
            <w:tcW w:w="4675" w:type="dxa"/>
          </w:tcPr>
          <w:p w14:paraId="61EDC925" w14:textId="2CE3B99B" w:rsidR="009D3151" w:rsidRPr="005B18B3" w:rsidRDefault="003072D2" w:rsidP="006A5562">
            <w:pPr>
              <w:spacing w:before="120" w:after="120"/>
            </w:pPr>
            <w:r w:rsidRPr="001D326E">
              <w:rPr>
                <w:color w:val="000000"/>
              </w:rPr>
              <w:lastRenderedPageBreak/>
              <w:t xml:space="preserve">In addition to the tests performed against the affected assertions, the </w:t>
            </w:r>
            <w:r w:rsidRPr="001D326E">
              <w:rPr>
                <w:lang w:val="en"/>
              </w:rPr>
              <w:t xml:space="preserve">CSTL </w:t>
            </w:r>
            <w:r w:rsidRPr="001D326E">
              <w:rPr>
                <w:b/>
                <w:bCs/>
                <w:color w:val="FF0000"/>
                <w:lang w:val="en"/>
              </w:rPr>
              <w:t>shall</w:t>
            </w:r>
            <w:r w:rsidRPr="001D326E">
              <w:rPr>
                <w:color w:val="FF0000"/>
                <w:lang w:val="en"/>
              </w:rPr>
              <w:t xml:space="preserve"> </w:t>
            </w:r>
            <w:r w:rsidRPr="001D326E">
              <w:rPr>
                <w:lang w:val="en"/>
              </w:rPr>
              <w:t xml:space="preserve">perform the regression test suite shown on the </w:t>
            </w:r>
            <w:hyperlink r:id="rId15" w:history="1">
              <w:r w:rsidRPr="001D326E">
                <w:rPr>
                  <w:color w:val="0000FF"/>
                  <w:u w:val="single"/>
                  <w:lang w:val="en"/>
                </w:rPr>
                <w:t>CMVP website</w:t>
              </w:r>
            </w:hyperlink>
            <w:r w:rsidRPr="001D326E">
              <w:rPr>
                <w:lang w:val="en"/>
              </w:rPr>
              <w:t>.</w:t>
            </w:r>
          </w:p>
        </w:tc>
        <w:tc>
          <w:tcPr>
            <w:tcW w:w="4675" w:type="dxa"/>
          </w:tcPr>
          <w:p w14:paraId="7A4A84A7" w14:textId="77777777" w:rsidR="009D3151" w:rsidRDefault="009D3151" w:rsidP="006A5562">
            <w:pPr>
              <w:spacing w:before="120" w:after="120"/>
            </w:pPr>
          </w:p>
        </w:tc>
      </w:tr>
      <w:tr w:rsidR="00F865DA" w14:paraId="1770D2F4" w14:textId="77777777" w:rsidTr="004A3162">
        <w:tc>
          <w:tcPr>
            <w:tcW w:w="4675" w:type="dxa"/>
          </w:tcPr>
          <w:p w14:paraId="29AACE64" w14:textId="0ED52D85" w:rsidR="00F865DA" w:rsidRDefault="005B18B3" w:rsidP="006A5562">
            <w:pPr>
              <w:spacing w:before="120" w:after="120"/>
              <w:rPr>
                <w:rFonts w:eastAsia="Calibri"/>
              </w:rPr>
            </w:pPr>
            <w:r w:rsidRPr="005B18B3">
              <w:t xml:space="preserve">The UPDT can also be used to for resetting the module’s sunset date when a module has </w:t>
            </w:r>
            <w:r w:rsidRPr="005B18B3">
              <w:rPr>
                <w:u w:val="single"/>
              </w:rPr>
              <w:t>not</w:t>
            </w:r>
            <w:r w:rsidRPr="005B18B3">
              <w:t xml:space="preserve"> changed, provided the above requirements are met.</w:t>
            </w:r>
          </w:p>
        </w:tc>
        <w:tc>
          <w:tcPr>
            <w:tcW w:w="4675" w:type="dxa"/>
          </w:tcPr>
          <w:p w14:paraId="18BCA0C8" w14:textId="77777777" w:rsidR="00F865DA" w:rsidRDefault="00F865DA" w:rsidP="006A5562">
            <w:pPr>
              <w:spacing w:before="120" w:after="120"/>
            </w:pPr>
          </w:p>
        </w:tc>
      </w:tr>
      <w:tr w:rsidR="002650F8" w14:paraId="33BBF373" w14:textId="77777777" w:rsidTr="004A3162">
        <w:tc>
          <w:tcPr>
            <w:tcW w:w="4675" w:type="dxa"/>
          </w:tcPr>
          <w:p w14:paraId="4C4ED751" w14:textId="7CE89C68" w:rsidR="002650F8" w:rsidRPr="005B18B3" w:rsidRDefault="002650F8" w:rsidP="006A5562">
            <w:pPr>
              <w:spacing w:before="120" w:after="120"/>
            </w:pPr>
            <w:r w:rsidRPr="002650F8">
              <w:t xml:space="preserve">UPDT can be combined with any submission scenario(s) except VUP or VAOE. In this case, the CSTL selects the appropriate sub-option(s) in Web </w:t>
            </w:r>
            <w:proofErr w:type="spellStart"/>
            <w:r w:rsidRPr="002650F8">
              <w:t>Cryptik</w:t>
            </w:r>
            <w:proofErr w:type="spellEnd"/>
            <w:r w:rsidRPr="002650F8">
              <w:t xml:space="preserve"> after choosing the UPDT submission scenario.</w:t>
            </w:r>
          </w:p>
        </w:tc>
        <w:tc>
          <w:tcPr>
            <w:tcW w:w="4675" w:type="dxa"/>
          </w:tcPr>
          <w:p w14:paraId="07A72ED2" w14:textId="77777777" w:rsidR="002650F8" w:rsidRDefault="002650F8" w:rsidP="006A5562">
            <w:pPr>
              <w:spacing w:before="120" w:after="120"/>
            </w:pPr>
          </w:p>
        </w:tc>
      </w:tr>
    </w:tbl>
    <w:p w14:paraId="0F5C49F3" w14:textId="0B7EAD62" w:rsidR="003470E3" w:rsidRDefault="003470E3" w:rsidP="006A5562">
      <w:pPr>
        <w:widowControl w:val="0"/>
        <w:spacing w:before="120" w:after="120" w:line="240" w:lineRule="auto"/>
        <w:rPr>
          <w:rFonts w:ascii="Times New Roman" w:eastAsia="Times New Roman" w:hAnsi="Times New Roman" w:cs="Times New Roman"/>
          <w:sz w:val="20"/>
          <w:szCs w:val="20"/>
        </w:rPr>
      </w:pPr>
    </w:p>
    <w:p w14:paraId="15CE509C" w14:textId="17CE06A4" w:rsidR="005C1E88" w:rsidRDefault="000B00BE" w:rsidP="006A5562">
      <w:pPr>
        <w:widowControl w:val="0"/>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Original submission date </w:t>
      </w:r>
      <w:r w:rsidR="007909C2">
        <w:rPr>
          <w:rFonts w:ascii="Times New Roman" w:hAnsi="Times New Roman" w:cs="Times New Roman"/>
          <w:sz w:val="20"/>
          <w:szCs w:val="20"/>
        </w:rPr>
        <w:t>of the revalidation certificate</w:t>
      </w:r>
      <w:r w:rsidR="005C1E88" w:rsidRPr="005C1E88">
        <w:rPr>
          <w:rFonts w:ascii="Times New Roman" w:hAnsi="Times New Roman" w:cs="Times New Roman"/>
          <w:sz w:val="20"/>
          <w:szCs w:val="20"/>
        </w:rPr>
        <w:t>:</w:t>
      </w:r>
      <w:r w:rsidR="00781CED">
        <w:rPr>
          <w:rFonts w:ascii="Times New Roman" w:hAnsi="Times New Roman" w:cs="Times New Roman"/>
          <w:sz w:val="20"/>
          <w:szCs w:val="20"/>
        </w:rPr>
        <w:t xml:space="preserve"> [DATE]</w:t>
      </w:r>
    </w:p>
    <w:tbl>
      <w:tblPr>
        <w:tblStyle w:val="TableGrid"/>
        <w:tblW w:w="9350" w:type="dxa"/>
        <w:tblLook w:val="04A0" w:firstRow="1" w:lastRow="0" w:firstColumn="1" w:lastColumn="0" w:noHBand="0" w:noVBand="1"/>
      </w:tblPr>
      <w:tblGrid>
        <w:gridCol w:w="1975"/>
        <w:gridCol w:w="1316"/>
        <w:gridCol w:w="1170"/>
        <w:gridCol w:w="4889"/>
      </w:tblGrid>
      <w:tr w:rsidR="000513FA" w14:paraId="24140260" w14:textId="77777777" w:rsidTr="006F2743">
        <w:tc>
          <w:tcPr>
            <w:tcW w:w="1975" w:type="dxa"/>
            <w:shd w:val="clear" w:color="auto" w:fill="E7E6E6" w:themeFill="background2"/>
          </w:tcPr>
          <w:p w14:paraId="27107885" w14:textId="7D1F5221" w:rsidR="000513FA" w:rsidRPr="00660204" w:rsidRDefault="000513FA" w:rsidP="006A5562">
            <w:pPr>
              <w:spacing w:before="120" w:after="120"/>
              <w:rPr>
                <w:b/>
                <w:bCs/>
              </w:rPr>
            </w:pPr>
            <w:r w:rsidRPr="00660204">
              <w:rPr>
                <w:b/>
                <w:bCs/>
              </w:rPr>
              <w:t>IG(s)</w:t>
            </w:r>
            <w:r w:rsidRPr="003470E3">
              <w:rPr>
                <w:b/>
                <w:bCs/>
              </w:rPr>
              <w:t xml:space="preserve"> published or modified</w:t>
            </w:r>
            <w:r w:rsidR="002C6781">
              <w:rPr>
                <w:b/>
                <w:bCs/>
              </w:rPr>
              <w:t xml:space="preserve"> and date </w:t>
            </w:r>
            <w:r w:rsidRPr="003470E3">
              <w:rPr>
                <w:b/>
                <w:bCs/>
              </w:rPr>
              <w:t xml:space="preserve"> since </w:t>
            </w:r>
            <w:r w:rsidRPr="00660204">
              <w:rPr>
                <w:b/>
                <w:bCs/>
              </w:rPr>
              <w:t>original submission</w:t>
            </w:r>
            <w:r w:rsidRPr="003470E3">
              <w:rPr>
                <w:b/>
                <w:bCs/>
              </w:rPr>
              <w:t xml:space="preserve"> date</w:t>
            </w:r>
          </w:p>
        </w:tc>
        <w:tc>
          <w:tcPr>
            <w:tcW w:w="1316" w:type="dxa"/>
            <w:shd w:val="clear" w:color="auto" w:fill="E7E6E6" w:themeFill="background2"/>
          </w:tcPr>
          <w:p w14:paraId="6268044B" w14:textId="523114F5" w:rsidR="000513FA" w:rsidRPr="00660204" w:rsidRDefault="000513FA" w:rsidP="006A5562">
            <w:pPr>
              <w:spacing w:before="120" w:after="120"/>
              <w:rPr>
                <w:b/>
                <w:bCs/>
              </w:rPr>
            </w:pPr>
            <w:r>
              <w:rPr>
                <w:b/>
                <w:bCs/>
              </w:rPr>
              <w:t>Summary of IG changes</w:t>
            </w:r>
          </w:p>
        </w:tc>
        <w:tc>
          <w:tcPr>
            <w:tcW w:w="1170" w:type="dxa"/>
            <w:vMerge w:val="restart"/>
            <w:shd w:val="clear" w:color="auto" w:fill="E7E6E6" w:themeFill="background2"/>
          </w:tcPr>
          <w:p w14:paraId="3DEC44CF" w14:textId="69C269F6" w:rsidR="000513FA" w:rsidRPr="00660204" w:rsidRDefault="000513FA" w:rsidP="006A5562">
            <w:pPr>
              <w:spacing w:before="120" w:after="120"/>
              <w:rPr>
                <w:b/>
                <w:bCs/>
              </w:rPr>
            </w:pPr>
            <w:r w:rsidRPr="00660204">
              <w:rPr>
                <w:b/>
                <w:bCs/>
              </w:rPr>
              <w:t>Applicable to module?</w:t>
            </w:r>
          </w:p>
        </w:tc>
        <w:tc>
          <w:tcPr>
            <w:tcW w:w="4889" w:type="dxa"/>
            <w:vMerge w:val="restart"/>
            <w:shd w:val="clear" w:color="auto" w:fill="E7E6E6" w:themeFill="background2"/>
          </w:tcPr>
          <w:p w14:paraId="2C187F69" w14:textId="3C4A49D2" w:rsidR="000513FA" w:rsidRPr="00660204" w:rsidRDefault="000513FA" w:rsidP="006A5562">
            <w:pPr>
              <w:spacing w:before="120" w:after="120"/>
              <w:rPr>
                <w:b/>
                <w:bCs/>
              </w:rPr>
            </w:pPr>
            <w:r w:rsidRPr="00660204">
              <w:rPr>
                <w:b/>
                <w:bCs/>
              </w:rPr>
              <w:t>H</w:t>
            </w:r>
            <w:r w:rsidRPr="003470E3">
              <w:rPr>
                <w:b/>
                <w:bCs/>
              </w:rPr>
              <w:t>ow the module meets the requirements found to be applicable</w:t>
            </w:r>
          </w:p>
        </w:tc>
      </w:tr>
      <w:tr w:rsidR="000513FA" w14:paraId="6E140F88" w14:textId="77777777" w:rsidTr="0008521A">
        <w:tc>
          <w:tcPr>
            <w:tcW w:w="3291" w:type="dxa"/>
            <w:gridSpan w:val="2"/>
            <w:shd w:val="clear" w:color="auto" w:fill="E7E6E6" w:themeFill="background2"/>
          </w:tcPr>
          <w:p w14:paraId="2A4C1E9B" w14:textId="0E1FF826" w:rsidR="000513FA" w:rsidRDefault="000513FA" w:rsidP="0008521A">
            <w:pPr>
              <w:spacing w:before="120" w:after="120"/>
              <w:jc w:val="center"/>
              <w:rPr>
                <w:b/>
                <w:bCs/>
              </w:rPr>
            </w:pPr>
            <w:r>
              <w:rPr>
                <w:b/>
                <w:bCs/>
              </w:rPr>
              <w:t>S</w:t>
            </w:r>
            <w:r>
              <w:rPr>
                <w:b/>
                <w:bCs/>
              </w:rPr>
              <w:t xml:space="preserve">ee </w:t>
            </w:r>
            <w:hyperlink r:id="rId16" w:anchor="Change%20Summary" w:history="1">
              <w:r w:rsidRPr="000471ED">
                <w:rPr>
                  <w:rStyle w:val="Hyperlink"/>
                  <w:rFonts w:asciiTheme="minorHAnsi" w:eastAsiaTheme="minorHAnsi" w:hAnsiTheme="minorHAnsi" w:cstheme="minorBidi"/>
                  <w:b/>
                  <w:bCs/>
                  <w:sz w:val="22"/>
                  <w:szCs w:val="22"/>
                </w:rPr>
                <w:t xml:space="preserve">Change </w:t>
              </w:r>
              <w:r w:rsidRPr="000471ED">
                <w:rPr>
                  <w:rStyle w:val="Hyperlink"/>
                  <w:b/>
                  <w:bCs/>
                </w:rPr>
                <w:t>S</w:t>
              </w:r>
              <w:r w:rsidRPr="000471ED">
                <w:rPr>
                  <w:rStyle w:val="Hyperlink"/>
                  <w:b/>
                  <w:bCs/>
                </w:rPr>
                <w:t>ummary</w:t>
              </w:r>
            </w:hyperlink>
          </w:p>
        </w:tc>
        <w:tc>
          <w:tcPr>
            <w:tcW w:w="1170" w:type="dxa"/>
            <w:vMerge/>
            <w:shd w:val="clear" w:color="auto" w:fill="E7E6E6" w:themeFill="background2"/>
          </w:tcPr>
          <w:p w14:paraId="453EF2BB" w14:textId="77777777" w:rsidR="000513FA" w:rsidRPr="00660204" w:rsidRDefault="000513FA" w:rsidP="006A5562">
            <w:pPr>
              <w:spacing w:before="120" w:after="120"/>
              <w:rPr>
                <w:b/>
                <w:bCs/>
              </w:rPr>
            </w:pPr>
          </w:p>
        </w:tc>
        <w:tc>
          <w:tcPr>
            <w:tcW w:w="4889" w:type="dxa"/>
            <w:vMerge/>
            <w:shd w:val="clear" w:color="auto" w:fill="E7E6E6" w:themeFill="background2"/>
          </w:tcPr>
          <w:p w14:paraId="1AF2C248" w14:textId="77777777" w:rsidR="000513FA" w:rsidRPr="00660204" w:rsidRDefault="000513FA" w:rsidP="006A5562">
            <w:pPr>
              <w:spacing w:before="120" w:after="120"/>
              <w:rPr>
                <w:b/>
                <w:bCs/>
              </w:rPr>
            </w:pPr>
          </w:p>
        </w:tc>
      </w:tr>
      <w:tr w:rsidR="001B5DFB" w14:paraId="17E9F5A5" w14:textId="77777777" w:rsidTr="00D029C7">
        <w:tc>
          <w:tcPr>
            <w:tcW w:w="9350" w:type="dxa"/>
            <w:gridSpan w:val="4"/>
          </w:tcPr>
          <w:p w14:paraId="386864A6" w14:textId="0536DEE5" w:rsidR="001B5DFB" w:rsidRDefault="001B5DFB" w:rsidP="006A5562">
            <w:pPr>
              <w:spacing w:before="120" w:after="120"/>
            </w:pPr>
            <w:r>
              <w:t>NEW IGs</w:t>
            </w:r>
          </w:p>
        </w:tc>
      </w:tr>
      <w:tr w:rsidR="003027DE" w14:paraId="2F0F163F" w14:textId="77777777" w:rsidTr="006F2743">
        <w:tc>
          <w:tcPr>
            <w:tcW w:w="1975" w:type="dxa"/>
          </w:tcPr>
          <w:p w14:paraId="5E63E401" w14:textId="4DCF61CB" w:rsidR="003027DE" w:rsidRDefault="003027DE" w:rsidP="003027DE">
            <w:pPr>
              <w:spacing w:before="120" w:after="120"/>
            </w:pPr>
            <w:r>
              <w:t>[</w:t>
            </w:r>
            <w:r w:rsidR="00B70B84">
              <w:t>example]</w:t>
            </w:r>
          </w:p>
          <w:p w14:paraId="4AF67EAF" w14:textId="5B1F649E" w:rsidR="003027DE" w:rsidRDefault="003027DE" w:rsidP="003027DE">
            <w:pPr>
              <w:spacing w:before="120" w:after="120"/>
            </w:pPr>
            <w:r>
              <w:t xml:space="preserve">03/17/23: 10.2.A Pre-operational Integrity Technique Self-test </w:t>
            </w:r>
          </w:p>
        </w:tc>
        <w:tc>
          <w:tcPr>
            <w:tcW w:w="1316" w:type="dxa"/>
          </w:tcPr>
          <w:p w14:paraId="1F77F70A" w14:textId="77777777" w:rsidR="009915FA" w:rsidRDefault="003027DE" w:rsidP="009915FA">
            <w:pPr>
              <w:spacing w:before="120" w:after="120"/>
            </w:pPr>
            <w:r>
              <w:t xml:space="preserve"> </w:t>
            </w:r>
            <w:r w:rsidR="009915FA">
              <w:t>[example]</w:t>
            </w:r>
          </w:p>
          <w:p w14:paraId="56BA3798" w14:textId="584CF96C" w:rsidR="003027DE" w:rsidRDefault="003027DE" w:rsidP="003027DE">
            <w:pPr>
              <w:spacing w:before="120" w:after="120"/>
            </w:pPr>
          </w:p>
        </w:tc>
        <w:tc>
          <w:tcPr>
            <w:tcW w:w="1170" w:type="dxa"/>
          </w:tcPr>
          <w:p w14:paraId="635BB8B9" w14:textId="77777777" w:rsidR="00B70B84" w:rsidRDefault="00B70B84" w:rsidP="00B70B84">
            <w:pPr>
              <w:spacing w:before="120" w:after="120"/>
            </w:pPr>
            <w:r>
              <w:t>[example]</w:t>
            </w:r>
          </w:p>
          <w:p w14:paraId="6D66CC00" w14:textId="64F372DD" w:rsidR="003027DE" w:rsidRDefault="003027DE" w:rsidP="003027DE">
            <w:pPr>
              <w:spacing w:before="120" w:after="120"/>
            </w:pPr>
            <w:r>
              <w:t>Yes</w:t>
            </w:r>
          </w:p>
        </w:tc>
        <w:tc>
          <w:tcPr>
            <w:tcW w:w="4889" w:type="dxa"/>
          </w:tcPr>
          <w:p w14:paraId="66D14DDB" w14:textId="77777777" w:rsidR="00B70B84" w:rsidRDefault="00B70B84" w:rsidP="00B70B84">
            <w:pPr>
              <w:spacing w:before="120" w:after="120"/>
            </w:pPr>
            <w:r>
              <w:t>[example]</w:t>
            </w:r>
          </w:p>
          <w:p w14:paraId="1BAD0055" w14:textId="2F2881DF" w:rsidR="003027DE" w:rsidRDefault="003027DE" w:rsidP="003027DE">
            <w:pPr>
              <w:spacing w:before="120" w:after="120"/>
            </w:pPr>
            <w:r>
              <w:t xml:space="preserve">Module </w:t>
            </w:r>
            <w:r>
              <w:t>already r</w:t>
            </w:r>
            <w:r>
              <w:t xml:space="preserve">uns a pre-operational KAT on the HMAC KAT (SHA2-256) before the integrity test. AS10.20 – pre-operational KAT for HMAC SHA2-256 </w:t>
            </w:r>
          </w:p>
        </w:tc>
      </w:tr>
      <w:tr w:rsidR="00520448" w14:paraId="6125026E" w14:textId="77777777" w:rsidTr="006F2743">
        <w:tc>
          <w:tcPr>
            <w:tcW w:w="1975" w:type="dxa"/>
          </w:tcPr>
          <w:p w14:paraId="70D54713" w14:textId="1ED9B69A" w:rsidR="00520448" w:rsidRDefault="001B5DFB" w:rsidP="006A5562">
            <w:pPr>
              <w:spacing w:before="120" w:after="120"/>
            </w:pPr>
            <w:r>
              <w:t>…</w:t>
            </w:r>
          </w:p>
        </w:tc>
        <w:tc>
          <w:tcPr>
            <w:tcW w:w="1316" w:type="dxa"/>
          </w:tcPr>
          <w:p w14:paraId="4CFD983A" w14:textId="61E62051" w:rsidR="00520448" w:rsidRDefault="001B5DFB" w:rsidP="006A5562">
            <w:pPr>
              <w:spacing w:before="120" w:after="120"/>
            </w:pPr>
            <w:r>
              <w:t>…</w:t>
            </w:r>
          </w:p>
        </w:tc>
        <w:tc>
          <w:tcPr>
            <w:tcW w:w="1170" w:type="dxa"/>
          </w:tcPr>
          <w:p w14:paraId="41149C16" w14:textId="423F418D" w:rsidR="00520448" w:rsidRDefault="001B5DFB" w:rsidP="006A5562">
            <w:pPr>
              <w:spacing w:before="120" w:after="120"/>
            </w:pPr>
            <w:r>
              <w:t>…</w:t>
            </w:r>
          </w:p>
        </w:tc>
        <w:tc>
          <w:tcPr>
            <w:tcW w:w="4889" w:type="dxa"/>
          </w:tcPr>
          <w:p w14:paraId="4EB4DF51" w14:textId="1F8895FF" w:rsidR="00520448" w:rsidRDefault="001B5DFB" w:rsidP="006A5562">
            <w:pPr>
              <w:spacing w:before="120" w:after="120"/>
            </w:pPr>
            <w:r>
              <w:t>…</w:t>
            </w:r>
          </w:p>
        </w:tc>
      </w:tr>
      <w:tr w:rsidR="001B5DFB" w14:paraId="6A0BB509" w14:textId="77777777" w:rsidTr="002E35A7">
        <w:tc>
          <w:tcPr>
            <w:tcW w:w="9350" w:type="dxa"/>
            <w:gridSpan w:val="4"/>
          </w:tcPr>
          <w:p w14:paraId="2087AE5C" w14:textId="13EE9883" w:rsidR="001B5DFB" w:rsidRDefault="001B5DFB" w:rsidP="006A5562">
            <w:pPr>
              <w:spacing w:before="120" w:after="120"/>
            </w:pPr>
            <w:r>
              <w:t>MODIFIED IGs</w:t>
            </w:r>
          </w:p>
        </w:tc>
      </w:tr>
      <w:tr w:rsidR="00237C2E" w14:paraId="2916BF47" w14:textId="77777777" w:rsidTr="006F2743">
        <w:tc>
          <w:tcPr>
            <w:tcW w:w="1975" w:type="dxa"/>
          </w:tcPr>
          <w:p w14:paraId="42425CB7" w14:textId="77777777" w:rsidR="009915FA" w:rsidRDefault="009915FA" w:rsidP="009915FA">
            <w:pPr>
              <w:spacing w:before="120" w:after="120"/>
            </w:pPr>
            <w:r>
              <w:t>[example]</w:t>
            </w:r>
          </w:p>
          <w:p w14:paraId="04DF5C6F" w14:textId="430C19B0" w:rsidR="00237C2E" w:rsidRDefault="00991013" w:rsidP="006A5562">
            <w:pPr>
              <w:spacing w:before="120" w:after="120"/>
            </w:pPr>
            <w:r w:rsidRPr="00991013">
              <w:t>11/22/23: 2.4.C Approved Security Service Indicator</w:t>
            </w:r>
          </w:p>
        </w:tc>
        <w:tc>
          <w:tcPr>
            <w:tcW w:w="1316" w:type="dxa"/>
          </w:tcPr>
          <w:p w14:paraId="34FD0C93" w14:textId="77777777" w:rsidR="009915FA" w:rsidRDefault="009915FA" w:rsidP="009915FA">
            <w:pPr>
              <w:spacing w:before="120" w:after="120"/>
            </w:pPr>
            <w:r>
              <w:t>[example]</w:t>
            </w:r>
          </w:p>
          <w:p w14:paraId="07E9CE9E" w14:textId="2A31BC85" w:rsidR="00237C2E" w:rsidRDefault="00991013" w:rsidP="006A5562">
            <w:pPr>
              <w:spacing w:before="120" w:after="120"/>
            </w:pPr>
            <w:r w:rsidRPr="00991013">
              <w:t>Clarified the API example in the Resolution and added a related Additional Comment 5.</w:t>
            </w:r>
          </w:p>
        </w:tc>
        <w:tc>
          <w:tcPr>
            <w:tcW w:w="1170" w:type="dxa"/>
          </w:tcPr>
          <w:p w14:paraId="61814DAA" w14:textId="77777777" w:rsidR="009915FA" w:rsidRDefault="009915FA" w:rsidP="009915FA">
            <w:pPr>
              <w:spacing w:before="120" w:after="120"/>
            </w:pPr>
            <w:r>
              <w:t>[example]</w:t>
            </w:r>
          </w:p>
          <w:p w14:paraId="2FA83108" w14:textId="21EE2BE8" w:rsidR="00237C2E" w:rsidRDefault="006F2743" w:rsidP="006A5562">
            <w:pPr>
              <w:spacing w:before="120" w:after="120"/>
            </w:pPr>
            <w:r>
              <w:t>Yes</w:t>
            </w:r>
          </w:p>
        </w:tc>
        <w:tc>
          <w:tcPr>
            <w:tcW w:w="4889" w:type="dxa"/>
          </w:tcPr>
          <w:p w14:paraId="381BA521" w14:textId="77777777" w:rsidR="009915FA" w:rsidRDefault="009915FA" w:rsidP="009915FA">
            <w:pPr>
              <w:spacing w:before="120" w:after="120"/>
            </w:pPr>
            <w:r>
              <w:t>[example]</w:t>
            </w:r>
          </w:p>
          <w:p w14:paraId="0ACBC9CD" w14:textId="77777777" w:rsidR="00220372" w:rsidRPr="00220372" w:rsidRDefault="00220372" w:rsidP="00220372">
            <w:pPr>
              <w:spacing w:before="120" w:after="120" w:line="240" w:lineRule="auto"/>
              <w:rPr>
                <w:rFonts w:ascii="Times New Roman" w:eastAsia="Times New Roman" w:hAnsi="Times New Roman" w:cs="Times New Roman"/>
                <w:sz w:val="20"/>
                <w:szCs w:val="20"/>
              </w:rPr>
            </w:pPr>
            <w:r w:rsidRPr="00220372">
              <w:rPr>
                <w:rFonts w:ascii="Times New Roman" w:eastAsia="Times New Roman" w:hAnsi="Times New Roman" w:cs="Times New Roman"/>
                <w:sz w:val="20"/>
                <w:szCs w:val="20"/>
              </w:rPr>
              <w:t>Module uses PAA = AES-NI from the IG list below and all algorithms have been tested with and without PAA:</w:t>
            </w:r>
          </w:p>
          <w:p w14:paraId="73F5B76F" w14:textId="77777777" w:rsidR="00220372" w:rsidRPr="00220372" w:rsidRDefault="00220372" w:rsidP="00220372">
            <w:pPr>
              <w:spacing w:before="120" w:after="120"/>
              <w:rPr>
                <w:b/>
                <w:bCs/>
              </w:rPr>
            </w:pPr>
            <w:r w:rsidRPr="00220372">
              <w:rPr>
                <w:b/>
                <w:bCs/>
              </w:rPr>
              <w:t xml:space="preserve">Known PAAs: </w:t>
            </w:r>
          </w:p>
          <w:p w14:paraId="626DCB22" w14:textId="4439AEDA" w:rsidR="00237C2E" w:rsidRDefault="00220372" w:rsidP="00220372">
            <w:pPr>
              <w:spacing w:before="120" w:after="120"/>
            </w:pPr>
            <w:r w:rsidRPr="00220372">
              <w:t xml:space="preserve">● Intel Processors – </w:t>
            </w:r>
            <w:r w:rsidRPr="006F2743">
              <w:rPr>
                <w:highlight w:val="yellow"/>
              </w:rPr>
              <w:t>Xeon</w:t>
            </w:r>
            <w:r w:rsidRPr="00220372">
              <w:t xml:space="preserve">, Core i5, Core i7, Core M and Atom with </w:t>
            </w:r>
            <w:proofErr w:type="spellStart"/>
            <w:r w:rsidRPr="00220372">
              <w:t>Westmere</w:t>
            </w:r>
            <w:proofErr w:type="spellEnd"/>
            <w:r w:rsidRPr="00220372">
              <w:t xml:space="preserve">, Sandy Bridge, Ivy Bridge, Haswell, Broadwell, Skylake, </w:t>
            </w:r>
            <w:proofErr w:type="spellStart"/>
            <w:r w:rsidRPr="00220372">
              <w:t>Kaby</w:t>
            </w:r>
            <w:proofErr w:type="spellEnd"/>
            <w:r w:rsidRPr="00220372">
              <w:t xml:space="preserve"> Lake, Coffee Lake, </w:t>
            </w:r>
            <w:proofErr w:type="spellStart"/>
            <w:r w:rsidRPr="00220372">
              <w:t>Goldmont</w:t>
            </w:r>
            <w:proofErr w:type="spellEnd"/>
            <w:r w:rsidRPr="00220372">
              <w:t xml:space="preserve"> Plus, Whiskey Lake, Amber Lake, </w:t>
            </w:r>
            <w:r w:rsidRPr="006F2743">
              <w:rPr>
                <w:highlight w:val="yellow"/>
              </w:rPr>
              <w:t>Cascade Lake</w:t>
            </w:r>
            <w:r w:rsidRPr="00220372">
              <w:t xml:space="preserve">, Comet Lake, Sunny Cove, or Golden Cove micro-architectures: </w:t>
            </w:r>
            <w:r w:rsidRPr="006F2743">
              <w:rPr>
                <w:highlight w:val="yellow"/>
              </w:rPr>
              <w:t>PAA = AES-NI</w:t>
            </w:r>
          </w:p>
        </w:tc>
      </w:tr>
      <w:tr w:rsidR="001B5DFB" w14:paraId="6F7A02F6" w14:textId="77777777" w:rsidTr="006F2743">
        <w:tc>
          <w:tcPr>
            <w:tcW w:w="1975" w:type="dxa"/>
          </w:tcPr>
          <w:p w14:paraId="189CB86F" w14:textId="2CF27EB7" w:rsidR="001B5DFB" w:rsidRDefault="001B5DFB" w:rsidP="001B5DFB">
            <w:pPr>
              <w:spacing w:before="120" w:after="120"/>
            </w:pPr>
            <w:r>
              <w:t>…</w:t>
            </w:r>
          </w:p>
        </w:tc>
        <w:tc>
          <w:tcPr>
            <w:tcW w:w="1316" w:type="dxa"/>
          </w:tcPr>
          <w:p w14:paraId="4F5C378A" w14:textId="6DF3FAA2" w:rsidR="001B5DFB" w:rsidRDefault="001B5DFB" w:rsidP="001B5DFB">
            <w:pPr>
              <w:spacing w:before="120" w:after="120"/>
            </w:pPr>
            <w:r>
              <w:t>…</w:t>
            </w:r>
          </w:p>
        </w:tc>
        <w:tc>
          <w:tcPr>
            <w:tcW w:w="1170" w:type="dxa"/>
          </w:tcPr>
          <w:p w14:paraId="1FCB9256" w14:textId="43E315FB" w:rsidR="001B5DFB" w:rsidRDefault="001B5DFB" w:rsidP="001B5DFB">
            <w:pPr>
              <w:spacing w:before="120" w:after="120"/>
            </w:pPr>
            <w:r>
              <w:t>…</w:t>
            </w:r>
          </w:p>
        </w:tc>
        <w:tc>
          <w:tcPr>
            <w:tcW w:w="4889" w:type="dxa"/>
          </w:tcPr>
          <w:p w14:paraId="5FB9A19E" w14:textId="79CF2535" w:rsidR="001B5DFB" w:rsidRDefault="001B5DFB" w:rsidP="001B5DFB">
            <w:pPr>
              <w:spacing w:before="120" w:after="120"/>
            </w:pPr>
            <w:r>
              <w:t>…</w:t>
            </w:r>
          </w:p>
        </w:tc>
      </w:tr>
    </w:tbl>
    <w:p w14:paraId="0497C772" w14:textId="0A171863" w:rsidR="003470E3" w:rsidRDefault="003470E3" w:rsidP="006A5562">
      <w:pPr>
        <w:spacing w:before="120" w:after="120" w:line="240" w:lineRule="auto"/>
        <w:rPr>
          <w:rFonts w:ascii="Times New Roman" w:eastAsia="Times New Roman" w:hAnsi="Times New Roman" w:cs="Times New Roman"/>
          <w:sz w:val="20"/>
          <w:szCs w:val="20"/>
        </w:rPr>
      </w:pPr>
    </w:p>
    <w:p w14:paraId="401880CC"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6D50E692" w14:textId="49042BFE" w:rsidR="002F23EF" w:rsidRDefault="002F23EF" w:rsidP="00C361A2">
      <w:pPr>
        <w:pStyle w:val="Heading2"/>
        <w:numPr>
          <w:ilvl w:val="1"/>
          <w:numId w:val="12"/>
        </w:numPr>
        <w:spacing w:before="120" w:after="120" w:line="240" w:lineRule="auto"/>
        <w:rPr>
          <w:rFonts w:eastAsia="Times New Roman"/>
        </w:rPr>
      </w:pPr>
      <w:bookmarkStart w:id="11" w:name="_Toc161415374"/>
      <w:r>
        <w:rPr>
          <w:rFonts w:eastAsia="Times New Roman"/>
        </w:rPr>
        <w:lastRenderedPageBreak/>
        <w:t>CVE</w:t>
      </w:r>
      <w:bookmarkEnd w:id="11"/>
    </w:p>
    <w:p w14:paraId="5F872FFD" w14:textId="77777777" w:rsidR="008E44D4" w:rsidRPr="008E44D4" w:rsidRDefault="008E44D4" w:rsidP="008E44D4">
      <w:pPr>
        <w:spacing w:after="120" w:line="240" w:lineRule="auto"/>
        <w:rPr>
          <w:rFonts w:ascii="Times New Roman" w:eastAsia="Times New Roman" w:hAnsi="Times New Roman" w:cs="Times New Roman"/>
          <w:sz w:val="20"/>
          <w:szCs w:val="20"/>
        </w:rPr>
      </w:pPr>
      <w:r w:rsidRPr="008E44D4">
        <w:rPr>
          <w:rFonts w:ascii="Times New Roman" w:eastAsia="Times New Roman" w:hAnsi="Times New Roman" w:cs="Times New Roman"/>
          <w:sz w:val="20"/>
          <w:szCs w:val="20"/>
        </w:rPr>
        <w:t xml:space="preserve">A CSTL has been contracted to perform a revalidation for a module on which the vendor has made FIPS 140 security-relevant changes in response to one or more CVEs (Common Vulnerability and Exposure).   For more information about CVEs please see </w:t>
      </w:r>
      <w:hyperlink r:id="rId17" w:history="1">
        <w:r w:rsidRPr="008E44D4">
          <w:rPr>
            <w:rFonts w:ascii="Times New Roman" w:eastAsia="Times New Roman" w:hAnsi="Times New Roman" w:cs="Times New Roman"/>
            <w:color w:val="0000FF"/>
            <w:sz w:val="20"/>
            <w:szCs w:val="20"/>
            <w:u w:val="single"/>
          </w:rPr>
          <w:t>https://cve.mitre.org/</w:t>
        </w:r>
      </w:hyperlink>
      <w:r w:rsidRPr="008E44D4">
        <w:rPr>
          <w:rFonts w:ascii="Times New Roman" w:eastAsia="Times New Roman" w:hAnsi="Times New Roman" w:cs="Times New Roman"/>
          <w:sz w:val="20"/>
          <w:szCs w:val="20"/>
        </w:rPr>
        <w:t xml:space="preserve">. </w:t>
      </w:r>
    </w:p>
    <w:p w14:paraId="7D5B0621" w14:textId="28BFAEFA" w:rsidR="008E44D4" w:rsidRPr="008E44D4" w:rsidRDefault="008E44D4" w:rsidP="008E44D4">
      <w:pPr>
        <w:rPr>
          <w:sz w:val="20"/>
          <w:szCs w:val="20"/>
        </w:rPr>
      </w:pPr>
      <w:r w:rsidRPr="008E44D4">
        <w:rPr>
          <w:rFonts w:ascii="Times New Roman" w:eastAsia="Times New Roman" w:hAnsi="Times New Roman" w:cs="Times New Roman"/>
          <w:sz w:val="20"/>
          <w:szCs w:val="20"/>
        </w:rPr>
        <w:t xml:space="preserve">The purpose of this revalidation scenario is to provide the vendor a means to quickly fix, test and revalidate a module that is subject to a </w:t>
      </w:r>
      <w:r w:rsidRPr="008E44D4">
        <w:rPr>
          <w:rFonts w:ascii="Times New Roman" w:eastAsia="Times New Roman" w:hAnsi="Times New Roman" w:cs="Times New Roman"/>
          <w:i/>
          <w:sz w:val="20"/>
          <w:szCs w:val="20"/>
        </w:rPr>
        <w:t>security-relevant</w:t>
      </w:r>
      <w:r w:rsidRPr="008E44D4">
        <w:rPr>
          <w:rFonts w:ascii="Times New Roman" w:eastAsia="Times New Roman" w:hAnsi="Times New Roman" w:cs="Times New Roman"/>
          <w:sz w:val="20"/>
          <w:szCs w:val="20"/>
        </w:rPr>
        <w:t xml:space="preserve"> </w:t>
      </w:r>
      <w:r w:rsidRPr="008E44D4">
        <w:rPr>
          <w:rFonts w:ascii="Times New Roman" w:eastAsia="Times New Roman" w:hAnsi="Times New Roman" w:cs="Times New Roman"/>
          <w:i/>
          <w:sz w:val="20"/>
          <w:szCs w:val="20"/>
        </w:rPr>
        <w:t>CVE</w:t>
      </w:r>
      <w:r w:rsidRPr="008E44D4">
        <w:rPr>
          <w:rFonts w:ascii="Times New Roman" w:eastAsia="Times New Roman" w:hAnsi="Times New Roman" w:cs="Times New Roman"/>
          <w:i/>
          <w:sz w:val="20"/>
          <w:szCs w:val="20"/>
          <w:vertAlign w:val="superscript"/>
        </w:rPr>
        <w:t>1</w:t>
      </w:r>
      <w:r w:rsidRPr="008E44D4">
        <w:rPr>
          <w:rFonts w:ascii="Times New Roman" w:eastAsia="Times New Roman" w:hAnsi="Times New Roman" w:cs="Times New Roman"/>
          <w:sz w:val="20"/>
          <w:szCs w:val="20"/>
        </w:rPr>
        <w:t>, while at the same time providing assurance that the module still meets the FIPS 140-3 standard.  If a CVE does not require security relevant changes to address it, then the vendor may pursue a NSRL revalidation.</w:t>
      </w:r>
    </w:p>
    <w:tbl>
      <w:tblPr>
        <w:tblStyle w:val="TableGrid"/>
        <w:tblW w:w="0" w:type="auto"/>
        <w:tblLook w:val="04A0" w:firstRow="1" w:lastRow="0" w:firstColumn="1" w:lastColumn="0" w:noHBand="0" w:noVBand="1"/>
      </w:tblPr>
      <w:tblGrid>
        <w:gridCol w:w="4675"/>
        <w:gridCol w:w="4675"/>
      </w:tblGrid>
      <w:tr w:rsidR="002F23EF" w14:paraId="1433CA01" w14:textId="77777777" w:rsidTr="004A3162">
        <w:tc>
          <w:tcPr>
            <w:tcW w:w="4675" w:type="dxa"/>
            <w:shd w:val="clear" w:color="auto" w:fill="E7E6E6" w:themeFill="background2"/>
          </w:tcPr>
          <w:p w14:paraId="53AA6606" w14:textId="77777777" w:rsidR="002F23EF" w:rsidRPr="00E2218C" w:rsidRDefault="002F23EF" w:rsidP="006A5562">
            <w:pPr>
              <w:spacing w:before="120" w:after="120"/>
              <w:rPr>
                <w:b/>
                <w:bCs/>
              </w:rPr>
            </w:pPr>
            <w:r w:rsidRPr="00E2218C">
              <w:rPr>
                <w:b/>
                <w:bCs/>
              </w:rPr>
              <w:t>Requirement</w:t>
            </w:r>
          </w:p>
        </w:tc>
        <w:tc>
          <w:tcPr>
            <w:tcW w:w="4675" w:type="dxa"/>
            <w:shd w:val="clear" w:color="auto" w:fill="E7E6E6" w:themeFill="background2"/>
          </w:tcPr>
          <w:p w14:paraId="4B18DF1A" w14:textId="02667730" w:rsidR="002F23EF" w:rsidRPr="00E2218C" w:rsidRDefault="00E30624" w:rsidP="006A5562">
            <w:pPr>
              <w:spacing w:before="120" w:after="120"/>
              <w:rPr>
                <w:b/>
                <w:bCs/>
              </w:rPr>
            </w:pPr>
            <w:r>
              <w:rPr>
                <w:b/>
                <w:bCs/>
              </w:rPr>
              <w:t>CSTL Compliance evidence / justification</w:t>
            </w:r>
          </w:p>
        </w:tc>
      </w:tr>
      <w:tr w:rsidR="005F387A" w14:paraId="0CD853EA" w14:textId="77777777" w:rsidTr="004A3162">
        <w:tc>
          <w:tcPr>
            <w:tcW w:w="4675" w:type="dxa"/>
          </w:tcPr>
          <w:p w14:paraId="21D94EDF" w14:textId="5715D2D8" w:rsidR="005F387A" w:rsidRDefault="005F387A" w:rsidP="006A5562">
            <w:pPr>
              <w:spacing w:before="120" w:after="120"/>
            </w:pPr>
            <w:r w:rsidRPr="009C1740">
              <w:rPr>
                <w:color w:val="000000"/>
              </w:rPr>
              <w:t xml:space="preserve">The </w:t>
            </w:r>
            <w:r w:rsidR="00157472">
              <w:rPr>
                <w:color w:val="000000"/>
              </w:rPr>
              <w:t>CSTL</w:t>
            </w:r>
            <w:r w:rsidRPr="009C1740">
              <w:rPr>
                <w:color w:val="000000"/>
              </w:rPr>
              <w:t xml:space="preserve"> </w:t>
            </w:r>
            <w:r w:rsidRPr="009C1740">
              <w:rPr>
                <w:b/>
                <w:color w:val="FF0000"/>
              </w:rPr>
              <w:t>shall</w:t>
            </w:r>
            <w:r w:rsidRPr="009C1740">
              <w:rPr>
                <w:color w:val="000000"/>
              </w:rPr>
              <w:t xml:space="preserve"> determine that security relevant changes to the module are only to correct the vulnerability disclosed in the CVE (non-security relevant changes, as defined in Scenario NSRL, are permissible)</w:t>
            </w:r>
          </w:p>
        </w:tc>
        <w:tc>
          <w:tcPr>
            <w:tcW w:w="4675" w:type="dxa"/>
          </w:tcPr>
          <w:p w14:paraId="28B397EE" w14:textId="77777777" w:rsidR="005F387A" w:rsidRDefault="005F387A" w:rsidP="006A5562">
            <w:pPr>
              <w:spacing w:before="120" w:after="120"/>
            </w:pPr>
          </w:p>
        </w:tc>
      </w:tr>
      <w:tr w:rsidR="005F387A" w14:paraId="3801C121" w14:textId="77777777" w:rsidTr="004A3162">
        <w:tc>
          <w:tcPr>
            <w:tcW w:w="4675" w:type="dxa"/>
          </w:tcPr>
          <w:p w14:paraId="3DC055B1" w14:textId="5EADD814" w:rsidR="005F387A" w:rsidRDefault="005F387A" w:rsidP="006A5562">
            <w:pPr>
              <w:spacing w:before="120" w:after="120"/>
            </w:pPr>
            <w:r w:rsidRPr="009C1740">
              <w:rPr>
                <w:color w:val="000000"/>
              </w:rPr>
              <w:t xml:space="preserve">The </w:t>
            </w:r>
            <w:r w:rsidR="00157472">
              <w:rPr>
                <w:color w:val="000000"/>
              </w:rPr>
              <w:t>CSTL</w:t>
            </w:r>
            <w:r w:rsidRPr="009C1740">
              <w:rPr>
                <w:color w:val="000000"/>
              </w:rPr>
              <w:t xml:space="preserve"> </w:t>
            </w:r>
            <w:r w:rsidRPr="009C1740">
              <w:rPr>
                <w:b/>
                <w:color w:val="FF0000"/>
              </w:rPr>
              <w:t>shall</w:t>
            </w:r>
            <w:r w:rsidRPr="009C1740">
              <w:rPr>
                <w:color w:val="FF0000"/>
              </w:rPr>
              <w:t xml:space="preserve"> </w:t>
            </w:r>
            <w:r w:rsidRPr="009C1740">
              <w:rPr>
                <w:color w:val="000000"/>
              </w:rPr>
              <w:t xml:space="preserve">examine each modification and confirm that the change does not conflict with the requirements of FIPS 140-3. </w:t>
            </w:r>
          </w:p>
        </w:tc>
        <w:tc>
          <w:tcPr>
            <w:tcW w:w="4675" w:type="dxa"/>
          </w:tcPr>
          <w:p w14:paraId="16A44BEF" w14:textId="77777777" w:rsidR="005F387A" w:rsidRDefault="005F387A" w:rsidP="006A5562">
            <w:pPr>
              <w:spacing w:before="120" w:after="120"/>
            </w:pPr>
          </w:p>
        </w:tc>
      </w:tr>
      <w:tr w:rsidR="005F387A" w14:paraId="456F2608" w14:textId="77777777" w:rsidTr="004A3162">
        <w:tc>
          <w:tcPr>
            <w:tcW w:w="4675" w:type="dxa"/>
          </w:tcPr>
          <w:p w14:paraId="5F36CA86" w14:textId="4BC71155" w:rsidR="005F387A" w:rsidRDefault="005F387A" w:rsidP="006A5562">
            <w:pPr>
              <w:spacing w:before="120" w:after="120"/>
            </w:pPr>
            <w:r w:rsidRPr="009C1740">
              <w:rPr>
                <w:color w:val="000000"/>
              </w:rPr>
              <w:t xml:space="preserve">The </w:t>
            </w:r>
            <w:r w:rsidR="00157472">
              <w:rPr>
                <w:color w:val="000000"/>
              </w:rPr>
              <w:t>CSTL</w:t>
            </w:r>
            <w:r w:rsidRPr="009C1740">
              <w:rPr>
                <w:color w:val="000000"/>
              </w:rPr>
              <w:t xml:space="preserve"> </w:t>
            </w:r>
            <w:r w:rsidRPr="009C1740">
              <w:rPr>
                <w:b/>
                <w:color w:val="FF0000"/>
              </w:rPr>
              <w:t>shall</w:t>
            </w:r>
            <w:r w:rsidRPr="009C1740">
              <w:rPr>
                <w:color w:val="000000"/>
              </w:rPr>
              <w:t xml:space="preserve"> determine that no other modifications have been made. </w:t>
            </w:r>
          </w:p>
        </w:tc>
        <w:tc>
          <w:tcPr>
            <w:tcW w:w="4675" w:type="dxa"/>
          </w:tcPr>
          <w:p w14:paraId="5404564A" w14:textId="77777777" w:rsidR="005F387A" w:rsidRDefault="005F387A" w:rsidP="006A5562">
            <w:pPr>
              <w:spacing w:before="120" w:after="120"/>
            </w:pPr>
          </w:p>
        </w:tc>
      </w:tr>
      <w:tr w:rsidR="005F387A" w14:paraId="03802D59" w14:textId="77777777" w:rsidTr="004A3162">
        <w:tc>
          <w:tcPr>
            <w:tcW w:w="4675" w:type="dxa"/>
          </w:tcPr>
          <w:p w14:paraId="50BD2D71" w14:textId="63F262C0" w:rsidR="005F387A" w:rsidRDefault="005F387A" w:rsidP="006A5562">
            <w:pPr>
              <w:spacing w:before="120" w:after="120"/>
            </w:pPr>
            <w:r w:rsidRPr="009C1740">
              <w:t xml:space="preserve">The </w:t>
            </w:r>
            <w:r w:rsidR="00157472">
              <w:t>CSTL</w:t>
            </w:r>
            <w:r w:rsidRPr="009C1740">
              <w:t xml:space="preserve"> </w:t>
            </w:r>
            <w:r w:rsidRPr="009C1740">
              <w:rPr>
                <w:b/>
                <w:color w:val="FF0000"/>
              </w:rPr>
              <w:t>shall</w:t>
            </w:r>
            <w:r w:rsidRPr="009C1740">
              <w:t xml:space="preserve"> identify the assertions affected by the security-relevant modification and </w:t>
            </w:r>
            <w:r w:rsidRPr="009C1740">
              <w:rPr>
                <w:b/>
                <w:color w:val="FF0000"/>
              </w:rPr>
              <w:t>shall</w:t>
            </w:r>
            <w:r w:rsidRPr="009C1740">
              <w:t xml:space="preserve"> perform the tests associated with those assertions.</w:t>
            </w:r>
          </w:p>
        </w:tc>
        <w:tc>
          <w:tcPr>
            <w:tcW w:w="4675" w:type="dxa"/>
          </w:tcPr>
          <w:p w14:paraId="048528F0" w14:textId="77777777" w:rsidR="005F387A" w:rsidRDefault="005F387A" w:rsidP="006A5562">
            <w:pPr>
              <w:spacing w:before="120" w:after="120"/>
            </w:pPr>
          </w:p>
        </w:tc>
      </w:tr>
      <w:tr w:rsidR="005F387A" w14:paraId="78009CB1" w14:textId="77777777" w:rsidTr="004A3162">
        <w:tc>
          <w:tcPr>
            <w:tcW w:w="4675" w:type="dxa"/>
          </w:tcPr>
          <w:p w14:paraId="70F7588C" w14:textId="044C2ACC" w:rsidR="005F387A" w:rsidRDefault="00905442" w:rsidP="006A5562">
            <w:pPr>
              <w:spacing w:before="120" w:after="120"/>
            </w:pPr>
            <w:r w:rsidRPr="00905442">
              <w:t>The vendor is not required to address IGs that have been published since submission of the original module, besides following the continual guidance of IG 11.A (CVE Management).</w:t>
            </w:r>
            <w:r w:rsidR="005F387A" w:rsidRPr="009C1740">
              <w:t xml:space="preserve">  </w:t>
            </w:r>
          </w:p>
        </w:tc>
        <w:tc>
          <w:tcPr>
            <w:tcW w:w="4675" w:type="dxa"/>
          </w:tcPr>
          <w:p w14:paraId="5C0CF42F" w14:textId="77777777" w:rsidR="005F387A" w:rsidRDefault="005F387A" w:rsidP="006A5562">
            <w:pPr>
              <w:spacing w:before="120" w:after="120"/>
            </w:pPr>
          </w:p>
        </w:tc>
      </w:tr>
      <w:tr w:rsidR="005F387A" w14:paraId="0AC33333" w14:textId="77777777" w:rsidTr="004A3162">
        <w:tc>
          <w:tcPr>
            <w:tcW w:w="4675" w:type="dxa"/>
          </w:tcPr>
          <w:p w14:paraId="1BD7EB48" w14:textId="66B0863E" w:rsidR="005F387A" w:rsidRDefault="005F387A" w:rsidP="006A5562">
            <w:pPr>
              <w:spacing w:before="120" w:after="120"/>
            </w:pPr>
            <w:r w:rsidRPr="009C1740">
              <w:t xml:space="preserve">If the fix to address the CVE is in the scope of an algorithm implementation, then this algorithm </w:t>
            </w:r>
            <w:r w:rsidRPr="009C1740">
              <w:rPr>
                <w:b/>
                <w:color w:val="FF0000"/>
              </w:rPr>
              <w:t>shall</w:t>
            </w:r>
            <w:r w:rsidRPr="009C1740">
              <w:rPr>
                <w:color w:val="FF0000"/>
              </w:rPr>
              <w:t xml:space="preserve"> </w:t>
            </w:r>
            <w:r w:rsidRPr="009C1740">
              <w:t>be CAVP tested again to obtain a new CAVP certificate with the new module version.</w:t>
            </w:r>
          </w:p>
        </w:tc>
        <w:tc>
          <w:tcPr>
            <w:tcW w:w="4675" w:type="dxa"/>
          </w:tcPr>
          <w:p w14:paraId="4569E6AC" w14:textId="77777777" w:rsidR="005F387A" w:rsidRDefault="005F387A" w:rsidP="006A5562">
            <w:pPr>
              <w:spacing w:before="120" w:after="120"/>
            </w:pPr>
          </w:p>
        </w:tc>
      </w:tr>
      <w:tr w:rsidR="002F23EF" w14:paraId="5402A148" w14:textId="77777777" w:rsidTr="004A3162">
        <w:tc>
          <w:tcPr>
            <w:tcW w:w="4675" w:type="dxa"/>
          </w:tcPr>
          <w:p w14:paraId="6217F24D" w14:textId="1BDD11E9" w:rsidR="002F23EF" w:rsidRPr="002D3B21" w:rsidRDefault="002F762B" w:rsidP="006A5562">
            <w:pPr>
              <w:spacing w:before="120" w:after="120"/>
              <w:rPr>
                <w:rFonts w:eastAsia="Calibri"/>
              </w:rPr>
            </w:pPr>
            <w:r w:rsidRPr="002F762B">
              <w:rPr>
                <w:rFonts w:eastAsia="Calibri"/>
              </w:rPr>
              <w:t xml:space="preserve">Because the change to the module is to address a security-relevant CVE, the previous version of the module is no longer considered validated and </w:t>
            </w:r>
            <w:r w:rsidR="00DF4504" w:rsidRPr="00DF4504">
              <w:rPr>
                <w:rFonts w:eastAsia="Calibri"/>
                <w:b/>
                <w:bCs/>
                <w:color w:val="FF0000"/>
              </w:rPr>
              <w:t>shall</w:t>
            </w:r>
            <w:r w:rsidRPr="002F762B">
              <w:rPr>
                <w:rFonts w:eastAsia="Calibri"/>
              </w:rPr>
              <w:t xml:space="preserve"> be removed from the certificate</w:t>
            </w:r>
          </w:p>
        </w:tc>
        <w:tc>
          <w:tcPr>
            <w:tcW w:w="4675" w:type="dxa"/>
          </w:tcPr>
          <w:p w14:paraId="4BB759F3" w14:textId="77777777" w:rsidR="002F23EF" w:rsidRDefault="002F23EF" w:rsidP="006A5562">
            <w:pPr>
              <w:spacing w:before="120" w:after="120"/>
            </w:pPr>
          </w:p>
        </w:tc>
      </w:tr>
      <w:tr w:rsidR="00581A7C" w14:paraId="1F36BF81" w14:textId="77777777" w:rsidTr="004A3162">
        <w:tc>
          <w:tcPr>
            <w:tcW w:w="4675" w:type="dxa"/>
          </w:tcPr>
          <w:p w14:paraId="4DD4F94A" w14:textId="30CC7E3D" w:rsidR="00581A7C" w:rsidRPr="002F762B" w:rsidRDefault="00581A7C" w:rsidP="006A5562">
            <w:pPr>
              <w:spacing w:before="120" w:after="120"/>
              <w:rPr>
                <w:rFonts w:eastAsia="Calibri"/>
              </w:rPr>
            </w:pPr>
            <w:r w:rsidRPr="001D326E">
              <w:rPr>
                <w:color w:val="000000"/>
              </w:rPr>
              <w:t xml:space="preserve">In addition to the tests performed against the affected assertions, the CSTL </w:t>
            </w:r>
            <w:r w:rsidRPr="001D326E">
              <w:rPr>
                <w:b/>
                <w:color w:val="FF0000"/>
              </w:rPr>
              <w:t>shall</w:t>
            </w:r>
            <w:r w:rsidRPr="001D326E">
              <w:rPr>
                <w:color w:val="000000"/>
              </w:rPr>
              <w:t xml:space="preserve"> also perform the </w:t>
            </w:r>
            <w:r w:rsidRPr="001D326E">
              <w:rPr>
                <w:lang w:val="en"/>
              </w:rPr>
              <w:t xml:space="preserve">predefined regression tests shown on the </w:t>
            </w:r>
            <w:hyperlink r:id="rId18" w:history="1">
              <w:r w:rsidRPr="001D326E">
                <w:rPr>
                  <w:color w:val="0000FF"/>
                  <w:u w:val="single"/>
                  <w:lang w:val="en"/>
                </w:rPr>
                <w:t>CMVP website</w:t>
              </w:r>
            </w:hyperlink>
            <w:r w:rsidRPr="001D326E">
              <w:rPr>
                <w:lang w:val="en"/>
              </w:rPr>
              <w:t>, under CVE</w:t>
            </w:r>
            <w:r w:rsidRPr="001D326E">
              <w:rPr>
                <w:color w:val="000000"/>
              </w:rPr>
              <w:t>.</w:t>
            </w:r>
          </w:p>
        </w:tc>
        <w:tc>
          <w:tcPr>
            <w:tcW w:w="4675" w:type="dxa"/>
          </w:tcPr>
          <w:p w14:paraId="7E6C639F" w14:textId="77777777" w:rsidR="00581A7C" w:rsidRDefault="00581A7C" w:rsidP="006A5562">
            <w:pPr>
              <w:spacing w:before="120" w:after="120"/>
            </w:pPr>
          </w:p>
        </w:tc>
      </w:tr>
      <w:tr w:rsidR="002B5279" w14:paraId="5E3BFD43" w14:textId="77777777" w:rsidTr="004A3162">
        <w:tc>
          <w:tcPr>
            <w:tcW w:w="4675" w:type="dxa"/>
          </w:tcPr>
          <w:p w14:paraId="76455DE1" w14:textId="1662C8C2" w:rsidR="002B5279" w:rsidRPr="001D326E" w:rsidRDefault="002B5279" w:rsidP="006A5562">
            <w:pPr>
              <w:spacing w:before="120" w:after="120"/>
              <w:rPr>
                <w:color w:val="000000"/>
              </w:rPr>
            </w:pPr>
            <w:r w:rsidRPr="001D326E">
              <w:t xml:space="preserve">Because the change to the module is to address a security-relevant CVE, </w:t>
            </w:r>
            <w:r w:rsidRPr="001D326E">
              <w:rPr>
                <w:b/>
                <w:bCs/>
              </w:rPr>
              <w:t xml:space="preserve">the previous version of the module is no longer considered validated and </w:t>
            </w:r>
            <w:r w:rsidRPr="001D326E">
              <w:rPr>
                <w:b/>
                <w:bCs/>
                <w:color w:val="FF0000"/>
              </w:rPr>
              <w:t>shall</w:t>
            </w:r>
            <w:r w:rsidRPr="001D326E">
              <w:rPr>
                <w:b/>
                <w:bCs/>
              </w:rPr>
              <w:t xml:space="preserve"> be removed from the certificate</w:t>
            </w:r>
            <w:r w:rsidRPr="001D326E">
              <w:t xml:space="preserve">; exceptions may be made if the vendor shows how the CVE can be </w:t>
            </w:r>
            <w:r w:rsidRPr="001D326E">
              <w:lastRenderedPageBreak/>
              <w:t>mitigated by policies included in the Security Policy, while still adhering to the FIPS 140-3 standard.</w:t>
            </w:r>
          </w:p>
        </w:tc>
        <w:tc>
          <w:tcPr>
            <w:tcW w:w="4675" w:type="dxa"/>
          </w:tcPr>
          <w:p w14:paraId="5E2F78D9" w14:textId="77777777" w:rsidR="002B5279" w:rsidRDefault="002B5279" w:rsidP="006A5562">
            <w:pPr>
              <w:spacing w:before="120" w:after="120"/>
            </w:pPr>
          </w:p>
        </w:tc>
      </w:tr>
    </w:tbl>
    <w:p w14:paraId="330F4EDB" w14:textId="66461737" w:rsidR="002F23EF" w:rsidRDefault="002F23EF" w:rsidP="006A5562">
      <w:pPr>
        <w:spacing w:before="120" w:after="120" w:line="240" w:lineRule="auto"/>
        <w:rPr>
          <w:rFonts w:ascii="Times New Roman" w:eastAsia="Times New Roman" w:hAnsi="Times New Roman" w:cs="Times New Roman"/>
          <w:sz w:val="20"/>
          <w:szCs w:val="20"/>
        </w:rPr>
      </w:pPr>
    </w:p>
    <w:p w14:paraId="536DB3C7"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4AFD3489" w14:textId="0711DD91" w:rsidR="003F36DD" w:rsidRDefault="003F36DD" w:rsidP="00C361A2">
      <w:pPr>
        <w:pStyle w:val="Heading2"/>
        <w:numPr>
          <w:ilvl w:val="1"/>
          <w:numId w:val="12"/>
        </w:numPr>
        <w:spacing w:before="120" w:after="120" w:line="240" w:lineRule="auto"/>
        <w:rPr>
          <w:rFonts w:eastAsia="Times New Roman"/>
        </w:rPr>
      </w:pPr>
      <w:bookmarkStart w:id="12" w:name="_Toc161415375"/>
      <w:r w:rsidRPr="004D2774">
        <w:rPr>
          <w:rFonts w:eastAsia="Times New Roman"/>
        </w:rPr>
        <w:lastRenderedPageBreak/>
        <w:t>TRNS</w:t>
      </w:r>
      <w:bookmarkEnd w:id="12"/>
    </w:p>
    <w:p w14:paraId="320FEE16" w14:textId="1A2B8F5C" w:rsidR="003F007A" w:rsidRPr="003F007A" w:rsidRDefault="00251BC7" w:rsidP="003F007A">
      <w:pPr>
        <w:spacing w:before="120" w:after="120" w:line="240" w:lineRule="auto"/>
        <w:rPr>
          <w:rFonts w:ascii="Times New Roman" w:eastAsia="Times New Roman" w:hAnsi="Times New Roman" w:cs="Times New Roman"/>
          <w:sz w:val="20"/>
          <w:szCs w:val="20"/>
        </w:rPr>
      </w:pPr>
      <w:r w:rsidRPr="00251BC7">
        <w:rPr>
          <w:rFonts w:ascii="Times New Roman" w:eastAsia="Times New Roman" w:hAnsi="Times New Roman" w:cs="Times New Roman"/>
          <w:sz w:val="20"/>
          <w:szCs w:val="20"/>
        </w:rPr>
        <w:t xml:space="preserve">A CSTL has been contracted to perform a revalidation for a module on which the vendor has made FIPS 140-3 security relevant changes solely in response to a published CMVP algorithm transition that will cause some previously validated modules to be placed on the Historical list.  For example, the 2024 non-SP 800-56Brev2 RSA-based key encapsulation/un-encapsulation transition explained in FIPS 140-3 </w:t>
      </w:r>
      <w:hyperlink r:id="rId19" w:anchor="D.G%20Key%20Transport%20Methods" w:history="1">
        <w:r w:rsidRPr="00251BC7">
          <w:rPr>
            <w:rFonts w:ascii="Times New Roman" w:eastAsia="Times New Roman" w:hAnsi="Times New Roman" w:cs="Times New Roman"/>
            <w:color w:val="0000FF"/>
            <w:sz w:val="20"/>
            <w:szCs w:val="20"/>
            <w:u w:val="single"/>
          </w:rPr>
          <w:t>IG D.G</w:t>
        </w:r>
      </w:hyperlink>
      <w:r w:rsidRPr="00251BC7">
        <w:rPr>
          <w:rFonts w:ascii="Times New Roman" w:eastAsia="Times New Roman" w:hAnsi="Times New Roman" w:cs="Times New Roman"/>
          <w:sz w:val="20"/>
          <w:szCs w:val="20"/>
        </w:rPr>
        <w:t>. If the algorithm transition will NOT cause the module to move to the historical list (i.e., considered a “soft” transition), changes cannot be made as part of this submission.</w:t>
      </w:r>
    </w:p>
    <w:p w14:paraId="282D9AEF" w14:textId="77777777" w:rsidR="003F007A" w:rsidRDefault="003F007A" w:rsidP="003F007A">
      <w:pPr>
        <w:spacing w:after="120" w:line="240" w:lineRule="auto"/>
        <w:rPr>
          <w:rFonts w:ascii="Times New Roman" w:eastAsia="Times New Roman" w:hAnsi="Times New Roman" w:cs="Times New Roman"/>
          <w:sz w:val="20"/>
          <w:szCs w:val="20"/>
        </w:rPr>
      </w:pPr>
      <w:r w:rsidRPr="003F007A">
        <w:rPr>
          <w:rFonts w:ascii="Times New Roman" w:eastAsia="Times New Roman" w:hAnsi="Times New Roman" w:cs="Times New Roman"/>
          <w:sz w:val="20"/>
          <w:szCs w:val="20"/>
        </w:rPr>
        <w:t>Note: a single Scenario TRNS submission may combine multiple algorithm transitions.  However, this may increase review time.</w:t>
      </w:r>
    </w:p>
    <w:p w14:paraId="61FD262F" w14:textId="38D4BB6B" w:rsidR="00F84A96" w:rsidRPr="003F007A" w:rsidRDefault="00F84A96" w:rsidP="003F007A">
      <w:pPr>
        <w:spacing w:after="120" w:line="240" w:lineRule="auto"/>
        <w:rPr>
          <w:rFonts w:ascii="Times New Roman" w:eastAsia="Times New Roman" w:hAnsi="Times New Roman" w:cs="Times New Roman"/>
          <w:sz w:val="20"/>
          <w:szCs w:val="20"/>
        </w:rPr>
      </w:pPr>
      <w:r w:rsidRPr="00F84A96">
        <w:rPr>
          <w:rFonts w:ascii="Times New Roman" w:eastAsia="Times New Roman" w:hAnsi="Times New Roman" w:cs="Times New Roman"/>
          <w:sz w:val="20"/>
          <w:szCs w:val="20"/>
        </w:rPr>
        <w:t>The purpose of the TRNS revalidation is to provide the vendor a means to quickly address algorithm transition requirements, test and revalidate a module in order to meet a CMVP transition, while at the same time providing assurance that the module still meets the FIPS 140-3 standard.</w:t>
      </w:r>
    </w:p>
    <w:p w14:paraId="6FE3B0B0" w14:textId="4C9FF44A" w:rsidR="00AA2BBD" w:rsidRPr="003F007A" w:rsidRDefault="00AA2BBD" w:rsidP="006A5562">
      <w:pPr>
        <w:spacing w:before="120" w:after="120" w:line="240" w:lineRule="auto"/>
        <w:rPr>
          <w:rFonts w:ascii="Times New Roman" w:hAnsi="Times New Roman" w:cs="Times New Roman"/>
          <w:sz w:val="20"/>
          <w:szCs w:val="20"/>
        </w:rPr>
      </w:pPr>
      <w:r w:rsidRPr="003F007A">
        <w:rPr>
          <w:rFonts w:ascii="Times New Roman" w:hAnsi="Times New Roman" w:cs="Times New Roman"/>
          <w:sz w:val="20"/>
          <w:szCs w:val="20"/>
        </w:rPr>
        <w:t xml:space="preserve">Module code is </w:t>
      </w:r>
      <w:r w:rsidRPr="00D656E3">
        <w:rPr>
          <w:rFonts w:ascii="Times New Roman" w:hAnsi="Times New Roman" w:cs="Times New Roman"/>
          <w:i/>
          <w:iCs/>
          <w:sz w:val="20"/>
          <w:szCs w:val="20"/>
        </w:rPr>
        <w:t>changed</w:t>
      </w:r>
      <w:r w:rsidRPr="003F007A">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4675"/>
        <w:gridCol w:w="4675"/>
      </w:tblGrid>
      <w:tr w:rsidR="003F36DD" w14:paraId="60D5F8E2" w14:textId="77777777" w:rsidTr="004A3162">
        <w:tc>
          <w:tcPr>
            <w:tcW w:w="4675" w:type="dxa"/>
            <w:shd w:val="clear" w:color="auto" w:fill="E7E6E6" w:themeFill="background2"/>
          </w:tcPr>
          <w:p w14:paraId="6ED5412F" w14:textId="77777777" w:rsidR="003F36DD" w:rsidRPr="00E2218C" w:rsidRDefault="003F36DD" w:rsidP="006A5562">
            <w:pPr>
              <w:spacing w:before="120" w:after="120"/>
              <w:rPr>
                <w:b/>
                <w:bCs/>
              </w:rPr>
            </w:pPr>
            <w:r w:rsidRPr="00E2218C">
              <w:rPr>
                <w:b/>
                <w:bCs/>
              </w:rPr>
              <w:t>Requirement</w:t>
            </w:r>
          </w:p>
        </w:tc>
        <w:tc>
          <w:tcPr>
            <w:tcW w:w="4675" w:type="dxa"/>
            <w:shd w:val="clear" w:color="auto" w:fill="E7E6E6" w:themeFill="background2"/>
          </w:tcPr>
          <w:p w14:paraId="0632AAFA" w14:textId="34991C51" w:rsidR="003F36DD" w:rsidRPr="00E2218C" w:rsidRDefault="00E30624" w:rsidP="006A5562">
            <w:pPr>
              <w:spacing w:before="120" w:after="120"/>
              <w:rPr>
                <w:b/>
                <w:bCs/>
              </w:rPr>
            </w:pPr>
            <w:r>
              <w:rPr>
                <w:b/>
                <w:bCs/>
              </w:rPr>
              <w:t>CSTL Compliance evidence / justification</w:t>
            </w:r>
          </w:p>
        </w:tc>
      </w:tr>
      <w:tr w:rsidR="00B431CF" w14:paraId="57AEDB26" w14:textId="77777777" w:rsidTr="004A3162">
        <w:tc>
          <w:tcPr>
            <w:tcW w:w="4675" w:type="dxa"/>
          </w:tcPr>
          <w:p w14:paraId="0BB9DB8F" w14:textId="71334F8C" w:rsidR="00B431CF" w:rsidRDefault="00FF6ECA" w:rsidP="006A5562">
            <w:pPr>
              <w:spacing w:before="120" w:after="120"/>
            </w:pPr>
            <w:r w:rsidRPr="001D326E">
              <w:t xml:space="preserve">The CSTL </w:t>
            </w:r>
            <w:r w:rsidRPr="001D326E">
              <w:rPr>
                <w:b/>
                <w:color w:val="FF0000"/>
              </w:rPr>
              <w:t>shall</w:t>
            </w:r>
            <w:r w:rsidRPr="001D326E">
              <w:t xml:space="preserve"> determine that security relevant changes to the module are only to address a specific CMVP </w:t>
            </w:r>
            <w:r w:rsidRPr="001D326E">
              <w:rPr>
                <w:color w:val="000000"/>
              </w:rPr>
              <w:t>transition</w:t>
            </w:r>
            <w:r w:rsidRPr="001D326E">
              <w:t>.</w:t>
            </w:r>
            <w:r>
              <w:t xml:space="preserve"> </w:t>
            </w:r>
            <w:r>
              <w:rPr>
                <w:color w:val="000000"/>
              </w:rPr>
              <w:t>Other changes are permitted if only directly impacted by the TRNS change (e.g., addressing the TRNS may require ch</w:t>
            </w:r>
            <w:r w:rsidRPr="00413D20">
              <w:rPr>
                <w:color w:val="000000"/>
              </w:rPr>
              <w:t>anging the version number, and that requires the show version service be updated</w:t>
            </w:r>
            <w:r>
              <w:rPr>
                <w:color w:val="000000"/>
              </w:rPr>
              <w:t xml:space="preserve">). </w:t>
            </w:r>
            <w:r>
              <w:rPr>
                <w:lang w:val="en"/>
              </w:rPr>
              <w:t xml:space="preserve">In this case, the CSTL selects the “Limited NSRL” sub-option in Web </w:t>
            </w:r>
            <w:proofErr w:type="spellStart"/>
            <w:r>
              <w:rPr>
                <w:lang w:val="en"/>
              </w:rPr>
              <w:t>Cryptik</w:t>
            </w:r>
            <w:proofErr w:type="spellEnd"/>
            <w:r>
              <w:rPr>
                <w:lang w:val="en"/>
              </w:rPr>
              <w:t xml:space="preserve"> after choosing the TRNS submission scenario.</w:t>
            </w:r>
          </w:p>
        </w:tc>
        <w:tc>
          <w:tcPr>
            <w:tcW w:w="4675" w:type="dxa"/>
          </w:tcPr>
          <w:p w14:paraId="7428AE2D" w14:textId="77777777" w:rsidR="00B431CF" w:rsidRDefault="00B431CF" w:rsidP="006A5562">
            <w:pPr>
              <w:spacing w:before="120" w:after="120"/>
            </w:pPr>
          </w:p>
        </w:tc>
      </w:tr>
      <w:tr w:rsidR="00B431CF" w14:paraId="09CEF59F" w14:textId="77777777" w:rsidTr="004A3162">
        <w:tc>
          <w:tcPr>
            <w:tcW w:w="4675" w:type="dxa"/>
          </w:tcPr>
          <w:p w14:paraId="6A1A22BC" w14:textId="14CDB6FE" w:rsidR="00B431CF" w:rsidRDefault="00B431CF" w:rsidP="006A5562">
            <w:pPr>
              <w:spacing w:before="120" w:after="120"/>
            </w:pPr>
            <w:r w:rsidRPr="00986CFE">
              <w:t xml:space="preserve">The CSTL </w:t>
            </w:r>
            <w:r w:rsidRPr="00986CFE">
              <w:rPr>
                <w:b/>
                <w:color w:val="FF0000"/>
              </w:rPr>
              <w:t>shall</w:t>
            </w:r>
            <w:r w:rsidRPr="00986CFE">
              <w:t xml:space="preserve"> examine each modification and confirm that the change does not conflict with the requirements of FIPS 140-3.</w:t>
            </w:r>
          </w:p>
        </w:tc>
        <w:tc>
          <w:tcPr>
            <w:tcW w:w="4675" w:type="dxa"/>
          </w:tcPr>
          <w:p w14:paraId="07B36FA6" w14:textId="77777777" w:rsidR="00B431CF" w:rsidRDefault="00B431CF" w:rsidP="006A5562">
            <w:pPr>
              <w:spacing w:before="120" w:after="120"/>
            </w:pPr>
          </w:p>
        </w:tc>
      </w:tr>
      <w:tr w:rsidR="00B431CF" w14:paraId="4F6205A7" w14:textId="77777777" w:rsidTr="004A3162">
        <w:tc>
          <w:tcPr>
            <w:tcW w:w="4675" w:type="dxa"/>
          </w:tcPr>
          <w:p w14:paraId="63B17EB8" w14:textId="3B3AB728" w:rsidR="00B431CF" w:rsidRDefault="00B431CF" w:rsidP="006A5562">
            <w:pPr>
              <w:spacing w:before="120" w:after="120"/>
            </w:pPr>
            <w:r w:rsidRPr="00986CFE">
              <w:t xml:space="preserve">The CSTL </w:t>
            </w:r>
            <w:r w:rsidRPr="00986CFE">
              <w:rPr>
                <w:b/>
                <w:color w:val="FF0000"/>
              </w:rPr>
              <w:t>shall</w:t>
            </w:r>
            <w:r w:rsidRPr="00986CFE">
              <w:t xml:space="preserve"> determine that no other modifications have been made.  The vendor is not required to address IGs or guidance that have been published since submission of the original module, unless directly applicable to the transitioning algorithm (e.g., CAVP testing or self-test requirements).</w:t>
            </w:r>
          </w:p>
        </w:tc>
        <w:tc>
          <w:tcPr>
            <w:tcW w:w="4675" w:type="dxa"/>
          </w:tcPr>
          <w:p w14:paraId="6487AC67" w14:textId="77777777" w:rsidR="00B431CF" w:rsidRDefault="00B431CF" w:rsidP="006A5562">
            <w:pPr>
              <w:spacing w:before="120" w:after="120"/>
            </w:pPr>
          </w:p>
          <w:p w14:paraId="2B574E42" w14:textId="4A27662D" w:rsidR="0022293B" w:rsidRPr="0022293B" w:rsidRDefault="0022293B" w:rsidP="0022293B"/>
        </w:tc>
      </w:tr>
      <w:tr w:rsidR="00B431CF" w14:paraId="347EB05C" w14:textId="77777777" w:rsidTr="004A3162">
        <w:tc>
          <w:tcPr>
            <w:tcW w:w="4675" w:type="dxa"/>
          </w:tcPr>
          <w:p w14:paraId="7E7FC309" w14:textId="0831491A" w:rsidR="00B431CF" w:rsidRDefault="00B431CF" w:rsidP="006A5562">
            <w:pPr>
              <w:spacing w:before="120" w:after="120"/>
            </w:pPr>
            <w:r w:rsidRPr="00986CFE">
              <w:t xml:space="preserve">The CSTL </w:t>
            </w:r>
            <w:r w:rsidRPr="00986CFE">
              <w:rPr>
                <w:b/>
                <w:color w:val="FF0000"/>
              </w:rPr>
              <w:t>shall</w:t>
            </w:r>
            <w:r w:rsidRPr="00986CFE">
              <w:t xml:space="preserve"> identify the assertions affected by the security-relevant modification and </w:t>
            </w:r>
            <w:r w:rsidRPr="00986CFE">
              <w:rPr>
                <w:b/>
                <w:color w:val="FF0000"/>
              </w:rPr>
              <w:t>shall</w:t>
            </w:r>
            <w:r w:rsidRPr="00986CFE">
              <w:t xml:space="preserve"> perform the tests associated with those assertions.</w:t>
            </w:r>
          </w:p>
        </w:tc>
        <w:tc>
          <w:tcPr>
            <w:tcW w:w="4675" w:type="dxa"/>
          </w:tcPr>
          <w:p w14:paraId="066A3BA4" w14:textId="77777777" w:rsidR="00B431CF" w:rsidRDefault="00B431CF" w:rsidP="006A5562">
            <w:pPr>
              <w:spacing w:before="120" w:after="120"/>
            </w:pPr>
          </w:p>
        </w:tc>
      </w:tr>
      <w:tr w:rsidR="00B431CF" w14:paraId="15C3EA8B" w14:textId="77777777" w:rsidTr="004A3162">
        <w:tc>
          <w:tcPr>
            <w:tcW w:w="4675" w:type="dxa"/>
          </w:tcPr>
          <w:p w14:paraId="7B409295" w14:textId="258D019A" w:rsidR="00B431CF" w:rsidRDefault="0034160A" w:rsidP="006A5562">
            <w:pPr>
              <w:spacing w:before="120" w:after="120"/>
            </w:pPr>
            <w:r w:rsidRPr="001D326E">
              <w:t xml:space="preserve">If the means to meet the transition are in the scope of an algorithm implementation, and the path chosen to meet the requirements necessitates testing, then this algorithm </w:t>
            </w:r>
            <w:r w:rsidRPr="001D326E">
              <w:rPr>
                <w:b/>
                <w:color w:val="FF0000"/>
              </w:rPr>
              <w:t>shall</w:t>
            </w:r>
            <w:r w:rsidRPr="001D326E">
              <w:t xml:space="preserve"> be CAVP tested to obtain a new CAVP certificate with the new module version.</w:t>
            </w:r>
            <w:r>
              <w:t xml:space="preserve"> </w:t>
            </w:r>
            <w:r>
              <w:rPr>
                <w:lang w:val="en"/>
              </w:rPr>
              <w:t xml:space="preserve">In this case, the CSTL selects the “CAVP Testing Redone” sub-option in Web </w:t>
            </w:r>
            <w:proofErr w:type="spellStart"/>
            <w:r>
              <w:rPr>
                <w:lang w:val="en"/>
              </w:rPr>
              <w:t>Cryptik</w:t>
            </w:r>
            <w:proofErr w:type="spellEnd"/>
            <w:r>
              <w:rPr>
                <w:lang w:val="en"/>
              </w:rPr>
              <w:t xml:space="preserve"> after choosing the TRNS submission scenario.</w:t>
            </w:r>
          </w:p>
        </w:tc>
        <w:tc>
          <w:tcPr>
            <w:tcW w:w="4675" w:type="dxa"/>
          </w:tcPr>
          <w:p w14:paraId="7744642C" w14:textId="77777777" w:rsidR="00B431CF" w:rsidRDefault="00B431CF" w:rsidP="006A5562">
            <w:pPr>
              <w:spacing w:before="120" w:after="120"/>
            </w:pPr>
          </w:p>
        </w:tc>
      </w:tr>
      <w:tr w:rsidR="007533C7" w14:paraId="64CDDDF7" w14:textId="77777777" w:rsidTr="004A3162">
        <w:tc>
          <w:tcPr>
            <w:tcW w:w="4675" w:type="dxa"/>
          </w:tcPr>
          <w:p w14:paraId="18098208" w14:textId="1ED4FAD6" w:rsidR="007533C7" w:rsidRDefault="009D52AA" w:rsidP="006A5562">
            <w:pPr>
              <w:spacing w:before="120" w:after="120"/>
            </w:pPr>
            <w:r w:rsidRPr="001D326E">
              <w:t xml:space="preserve">In addition to the tests performed against the affected assertions, the CSTL </w:t>
            </w:r>
            <w:r w:rsidRPr="001D326E">
              <w:rPr>
                <w:b/>
                <w:color w:val="FF0000"/>
              </w:rPr>
              <w:t>shall</w:t>
            </w:r>
            <w:r w:rsidRPr="001D326E">
              <w:t xml:space="preserve"> also perform the </w:t>
            </w:r>
            <w:r w:rsidRPr="001D326E">
              <w:rPr>
                <w:lang w:val="en"/>
              </w:rPr>
              <w:t xml:space="preserve">predefined regression tests shown on the </w:t>
            </w:r>
            <w:hyperlink r:id="rId20" w:history="1">
              <w:r w:rsidRPr="001D326E">
                <w:rPr>
                  <w:color w:val="0000FF"/>
                  <w:u w:val="single"/>
                  <w:lang w:val="en"/>
                </w:rPr>
                <w:t>CMVP website</w:t>
              </w:r>
            </w:hyperlink>
            <w:r>
              <w:rPr>
                <w:lang w:val="en"/>
              </w:rPr>
              <w:t xml:space="preserve"> </w:t>
            </w:r>
            <w:r w:rsidRPr="001D326E">
              <w:rPr>
                <w:lang w:val="en"/>
              </w:rPr>
              <w:t xml:space="preserve">under </w:t>
            </w:r>
            <w:r w:rsidRPr="001D326E">
              <w:rPr>
                <w:lang w:val="en"/>
              </w:rPr>
              <w:lastRenderedPageBreak/>
              <w:t>TRNS</w:t>
            </w:r>
            <w:r>
              <w:rPr>
                <w:color w:val="000000"/>
              </w:rPr>
              <w:t xml:space="preserve"> </w:t>
            </w:r>
            <w:r w:rsidRPr="001D326E">
              <w:t>on all versions listed on the module’s certificate and on at least one of the listed OEs for hybrid or software/firmware modules (if the module binary image is identical across all OEs; if not, testing on at least every binary image is required).</w:t>
            </w:r>
          </w:p>
        </w:tc>
        <w:tc>
          <w:tcPr>
            <w:tcW w:w="4675" w:type="dxa"/>
          </w:tcPr>
          <w:p w14:paraId="3FCE34D6" w14:textId="77777777" w:rsidR="007533C7" w:rsidRDefault="007533C7" w:rsidP="006A5562">
            <w:pPr>
              <w:spacing w:before="120" w:after="120"/>
            </w:pPr>
          </w:p>
        </w:tc>
      </w:tr>
      <w:tr w:rsidR="007533C7" w14:paraId="2569D872" w14:textId="77777777" w:rsidTr="004A3162">
        <w:tc>
          <w:tcPr>
            <w:tcW w:w="4675" w:type="dxa"/>
          </w:tcPr>
          <w:p w14:paraId="48C93FF8" w14:textId="38FFC7E5" w:rsidR="007533C7" w:rsidRPr="002D3B21" w:rsidRDefault="007533C7" w:rsidP="006A5562">
            <w:pPr>
              <w:spacing w:before="120" w:after="120"/>
              <w:rPr>
                <w:rFonts w:eastAsia="Calibri"/>
              </w:rPr>
            </w:pPr>
            <w:r w:rsidRPr="00434DAE">
              <w:t xml:space="preserve">The CSTL </w:t>
            </w:r>
            <w:r w:rsidRPr="00434DAE">
              <w:rPr>
                <w:b/>
                <w:bCs/>
                <w:color w:val="FF0000"/>
              </w:rPr>
              <w:t>shall</w:t>
            </w:r>
            <w:r w:rsidRPr="00434DAE">
              <w:rPr>
                <w:color w:val="FF0000"/>
              </w:rPr>
              <w:t xml:space="preserve"> </w:t>
            </w:r>
            <w:r w:rsidRPr="00434DAE">
              <w:t xml:space="preserve">provide justification on why regression testing is not necessary for the untested OEs.  With proper justification, these may remain on the module’s certificate.  </w:t>
            </w:r>
          </w:p>
        </w:tc>
        <w:tc>
          <w:tcPr>
            <w:tcW w:w="4675" w:type="dxa"/>
          </w:tcPr>
          <w:p w14:paraId="6BA7F4DE" w14:textId="77777777" w:rsidR="007533C7" w:rsidRDefault="007533C7" w:rsidP="006A5562">
            <w:pPr>
              <w:spacing w:before="120" w:after="120"/>
            </w:pPr>
          </w:p>
        </w:tc>
      </w:tr>
      <w:tr w:rsidR="007533C7" w14:paraId="01977181" w14:textId="77777777" w:rsidTr="004A3162">
        <w:tc>
          <w:tcPr>
            <w:tcW w:w="4675" w:type="dxa"/>
          </w:tcPr>
          <w:p w14:paraId="233DDFF3" w14:textId="0C64D62B" w:rsidR="007533C7" w:rsidRPr="00986CFE" w:rsidRDefault="007533C7" w:rsidP="006A5562">
            <w:pPr>
              <w:spacing w:before="120" w:after="120"/>
            </w:pPr>
            <w:r w:rsidRPr="00434DAE">
              <w:t xml:space="preserve">If regression testing is not performed on some versions, then those </w:t>
            </w:r>
            <w:r w:rsidRPr="00434DAE">
              <w:rPr>
                <w:b/>
                <w:bCs/>
                <w:color w:val="FF0000"/>
              </w:rPr>
              <w:t>shall</w:t>
            </w:r>
            <w:r w:rsidRPr="00434DAE">
              <w:rPr>
                <w:color w:val="FF0000"/>
              </w:rPr>
              <w:t xml:space="preserve"> </w:t>
            </w:r>
            <w:r w:rsidRPr="00434DAE">
              <w:t xml:space="preserve">be removed from the module’s certificate. OEs without proper justification or regression testing </w:t>
            </w:r>
            <w:r w:rsidRPr="00434DAE">
              <w:rPr>
                <w:b/>
                <w:bCs/>
                <w:color w:val="FF0000"/>
              </w:rPr>
              <w:t>shall</w:t>
            </w:r>
            <w:r w:rsidRPr="00434DAE">
              <w:rPr>
                <w:color w:val="FF0000"/>
              </w:rPr>
              <w:t xml:space="preserve"> </w:t>
            </w:r>
            <w:r w:rsidRPr="00434DAE">
              <w:t>be removed from the module’s certificate.</w:t>
            </w:r>
          </w:p>
        </w:tc>
        <w:tc>
          <w:tcPr>
            <w:tcW w:w="4675" w:type="dxa"/>
          </w:tcPr>
          <w:p w14:paraId="17C527E0" w14:textId="77777777" w:rsidR="007533C7" w:rsidRDefault="007533C7" w:rsidP="006A5562">
            <w:pPr>
              <w:spacing w:before="120" w:after="120"/>
            </w:pPr>
          </w:p>
        </w:tc>
      </w:tr>
    </w:tbl>
    <w:p w14:paraId="29F58507" w14:textId="72B968AD" w:rsidR="003F36DD" w:rsidRDefault="003F36DD" w:rsidP="006A5562">
      <w:pPr>
        <w:spacing w:before="120" w:after="120" w:line="240" w:lineRule="auto"/>
        <w:rPr>
          <w:rFonts w:ascii="Times New Roman" w:eastAsia="Times New Roman" w:hAnsi="Times New Roman" w:cs="Times New Roman"/>
          <w:sz w:val="20"/>
          <w:szCs w:val="20"/>
        </w:rPr>
      </w:pPr>
    </w:p>
    <w:p w14:paraId="493AADD2" w14:textId="29A1D389" w:rsidR="00AA2BBD" w:rsidRPr="00775349" w:rsidRDefault="00333829" w:rsidP="006A5562">
      <w:pPr>
        <w:spacing w:before="120" w:after="120" w:line="240" w:lineRule="auto"/>
        <w:rPr>
          <w:rFonts w:ascii="Times New Roman" w:hAnsi="Times New Roman" w:cs="Times New Roman"/>
          <w:sz w:val="20"/>
          <w:szCs w:val="20"/>
        </w:rPr>
      </w:pPr>
      <w:r w:rsidRPr="00333829">
        <w:rPr>
          <w:rFonts w:ascii="Times New Roman" w:hAnsi="Times New Roman" w:cs="Times New Roman"/>
          <w:sz w:val="20"/>
          <w:szCs w:val="20"/>
        </w:rPr>
        <w:t xml:space="preserve">If the module code is </w:t>
      </w:r>
      <w:r w:rsidRPr="00333829">
        <w:rPr>
          <w:rFonts w:ascii="Times New Roman" w:hAnsi="Times New Roman" w:cs="Times New Roman"/>
          <w:i/>
          <w:iCs/>
          <w:sz w:val="20"/>
          <w:szCs w:val="20"/>
        </w:rPr>
        <w:t>unchanged</w:t>
      </w:r>
      <w:r w:rsidRPr="00333829">
        <w:rPr>
          <w:rFonts w:ascii="Times New Roman" w:hAnsi="Times New Roman" w:cs="Times New Roman"/>
          <w:sz w:val="20"/>
          <w:szCs w:val="20"/>
        </w:rPr>
        <w:t xml:space="preserve"> to address an algorithm transition and the change is purely to documentation</w:t>
      </w:r>
      <w:r w:rsidR="00AF4C29">
        <w:rPr>
          <w:rFonts w:ascii="Times New Roman" w:hAnsi="Times New Roman" w:cs="Times New Roman"/>
          <w:sz w:val="20"/>
          <w:szCs w:val="20"/>
        </w:rPr>
        <w:t>,</w:t>
      </w:r>
      <w:r w:rsidR="00AF4C29" w:rsidRPr="00AF4C29">
        <w:rPr>
          <w:rFonts w:ascii="Times New Roman" w:hAnsi="Times New Roman" w:cs="Times New Roman"/>
          <w:sz w:val="20"/>
          <w:szCs w:val="20"/>
        </w:rPr>
        <w:t xml:space="preserve"> one </w:t>
      </w:r>
      <w:r w:rsidR="007E48A2">
        <w:rPr>
          <w:rFonts w:ascii="Times New Roman" w:hAnsi="Times New Roman" w:cs="Times New Roman"/>
          <w:sz w:val="20"/>
          <w:szCs w:val="20"/>
        </w:rPr>
        <w:t xml:space="preserve">or more </w:t>
      </w:r>
      <w:r w:rsidR="00AF4C29" w:rsidRPr="00AF4C29">
        <w:rPr>
          <w:rFonts w:ascii="Times New Roman" w:hAnsi="Times New Roman" w:cs="Times New Roman"/>
          <w:sz w:val="20"/>
          <w:szCs w:val="20"/>
        </w:rPr>
        <w:t>of the following options apply</w:t>
      </w:r>
      <w:r w:rsidR="00AA2BBD" w:rsidRPr="0077534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4675"/>
        <w:gridCol w:w="4675"/>
      </w:tblGrid>
      <w:tr w:rsidR="00AA2BBD" w14:paraId="51E72E76" w14:textId="77777777" w:rsidTr="00CC4588">
        <w:tc>
          <w:tcPr>
            <w:tcW w:w="4675" w:type="dxa"/>
            <w:tcBorders>
              <w:bottom w:val="single" w:sz="18" w:space="0" w:color="7030A0"/>
            </w:tcBorders>
            <w:shd w:val="clear" w:color="auto" w:fill="E7E6E6" w:themeFill="background2"/>
          </w:tcPr>
          <w:p w14:paraId="6B2B1F10" w14:textId="77777777" w:rsidR="00AA2BBD" w:rsidRPr="00E2218C" w:rsidRDefault="00AA2BBD" w:rsidP="006A5562">
            <w:pPr>
              <w:spacing w:before="120" w:after="120"/>
              <w:rPr>
                <w:b/>
                <w:bCs/>
              </w:rPr>
            </w:pPr>
            <w:r w:rsidRPr="00E2218C">
              <w:rPr>
                <w:b/>
                <w:bCs/>
              </w:rPr>
              <w:t>Requirement</w:t>
            </w:r>
          </w:p>
        </w:tc>
        <w:tc>
          <w:tcPr>
            <w:tcW w:w="4675" w:type="dxa"/>
            <w:tcBorders>
              <w:bottom w:val="single" w:sz="18" w:space="0" w:color="7030A0"/>
            </w:tcBorders>
            <w:shd w:val="clear" w:color="auto" w:fill="E7E6E6" w:themeFill="background2"/>
          </w:tcPr>
          <w:p w14:paraId="7053977B" w14:textId="5F154FFB" w:rsidR="00AA2BBD" w:rsidRPr="00E2218C" w:rsidRDefault="00E30624" w:rsidP="006A5562">
            <w:pPr>
              <w:spacing w:before="120" w:after="120"/>
              <w:rPr>
                <w:b/>
                <w:bCs/>
              </w:rPr>
            </w:pPr>
            <w:r>
              <w:rPr>
                <w:b/>
                <w:bCs/>
              </w:rPr>
              <w:t>CSTL Compliance evidence / justification</w:t>
            </w:r>
          </w:p>
        </w:tc>
      </w:tr>
      <w:tr w:rsidR="00BF1A9F" w14:paraId="62AFC4B6" w14:textId="77777777" w:rsidTr="00850B53">
        <w:tc>
          <w:tcPr>
            <w:tcW w:w="9350" w:type="dxa"/>
            <w:gridSpan w:val="2"/>
            <w:tcBorders>
              <w:top w:val="single" w:sz="18" w:space="0" w:color="7030A0"/>
              <w:left w:val="single" w:sz="18" w:space="0" w:color="7030A0"/>
              <w:bottom w:val="single" w:sz="18" w:space="0" w:color="7030A0"/>
              <w:right w:val="single" w:sz="18" w:space="0" w:color="7030A0"/>
            </w:tcBorders>
          </w:tcPr>
          <w:p w14:paraId="4CAEA2FE" w14:textId="438732BA" w:rsidR="00BF1A9F" w:rsidRPr="00BF1A9F" w:rsidRDefault="00BF1A9F" w:rsidP="006A5562">
            <w:pPr>
              <w:spacing w:before="120" w:after="120"/>
              <w:jc w:val="center"/>
              <w:rPr>
                <w:b/>
                <w:bCs/>
              </w:rPr>
            </w:pPr>
            <w:r w:rsidRPr="00BF1A9F">
              <w:rPr>
                <w:b/>
                <w:bCs/>
              </w:rPr>
              <w:t>Option 1</w:t>
            </w:r>
          </w:p>
        </w:tc>
      </w:tr>
      <w:tr w:rsidR="00BF1A9F" w14:paraId="6ADBFFDC" w14:textId="77777777" w:rsidTr="00CC4588">
        <w:tc>
          <w:tcPr>
            <w:tcW w:w="4675" w:type="dxa"/>
            <w:tcBorders>
              <w:top w:val="single" w:sz="18" w:space="0" w:color="7030A0"/>
              <w:left w:val="single" w:sz="18" w:space="0" w:color="7030A0"/>
              <w:bottom w:val="single" w:sz="18" w:space="0" w:color="7030A0"/>
              <w:right w:val="single" w:sz="18" w:space="0" w:color="7030A0"/>
            </w:tcBorders>
          </w:tcPr>
          <w:p w14:paraId="0D5597D5" w14:textId="1D00700F" w:rsidR="00BF1A9F" w:rsidRPr="00CB121B" w:rsidRDefault="00BF1A9F" w:rsidP="006A5562">
            <w:pPr>
              <w:spacing w:before="120" w:after="120"/>
            </w:pPr>
            <w:r>
              <w:t>S</w:t>
            </w:r>
            <w:r w:rsidRPr="0029109B">
              <w:t xml:space="preserve">ervices or functionality were </w:t>
            </w:r>
            <w:r w:rsidRPr="00E56251">
              <w:rPr>
                <w:u w:val="single"/>
              </w:rPr>
              <w:t>not</w:t>
            </w:r>
            <w:r w:rsidRPr="0029109B">
              <w:t xml:space="preserve"> moved to or from the approved mode to remain compliant (e.g., </w:t>
            </w:r>
            <w:r>
              <w:t xml:space="preserve">previously </w:t>
            </w:r>
            <w:r w:rsidRPr="0029109B">
              <w:t xml:space="preserve">non-compliant services remain in the approved mode but are updated to demonstrate compliance rather than moved into non-approved mode), then the vendor may pursue a Scenario </w:t>
            </w:r>
            <w:r>
              <w:t xml:space="preserve">ALG </w:t>
            </w:r>
            <w:r w:rsidRPr="0029109B">
              <w:t>revalidation.</w:t>
            </w:r>
          </w:p>
        </w:tc>
        <w:tc>
          <w:tcPr>
            <w:tcW w:w="4675" w:type="dxa"/>
            <w:tcBorders>
              <w:top w:val="single" w:sz="18" w:space="0" w:color="7030A0"/>
              <w:left w:val="single" w:sz="18" w:space="0" w:color="7030A0"/>
              <w:bottom w:val="single" w:sz="18" w:space="0" w:color="7030A0"/>
              <w:right w:val="single" w:sz="18" w:space="0" w:color="7030A0"/>
            </w:tcBorders>
          </w:tcPr>
          <w:p w14:paraId="27AE7570" w14:textId="4333E772" w:rsidR="00BF1A9F" w:rsidRDefault="00CC4588" w:rsidP="006A5562">
            <w:pPr>
              <w:spacing w:before="120" w:after="120"/>
            </w:pPr>
            <w:r>
              <w:t>[Submitted as a Scenario ALG]</w:t>
            </w:r>
          </w:p>
        </w:tc>
      </w:tr>
      <w:tr w:rsidR="00BF1A9F" w14:paraId="2405F4DF" w14:textId="77777777" w:rsidTr="00EB0F61">
        <w:trPr>
          <w:trHeight w:hRule="exact" w:val="29"/>
        </w:trPr>
        <w:tc>
          <w:tcPr>
            <w:tcW w:w="4675" w:type="dxa"/>
            <w:tcBorders>
              <w:top w:val="single" w:sz="18" w:space="0" w:color="7030A0"/>
              <w:bottom w:val="single" w:sz="18" w:space="0" w:color="538135" w:themeColor="accent6" w:themeShade="BF"/>
            </w:tcBorders>
          </w:tcPr>
          <w:p w14:paraId="1E1187B4" w14:textId="47921674" w:rsidR="00BF1A9F" w:rsidRPr="00CB121B" w:rsidRDefault="00BF1A9F" w:rsidP="006A5562">
            <w:pPr>
              <w:spacing w:before="120" w:after="120"/>
            </w:pPr>
          </w:p>
        </w:tc>
        <w:tc>
          <w:tcPr>
            <w:tcW w:w="4675" w:type="dxa"/>
            <w:tcBorders>
              <w:top w:val="single" w:sz="18" w:space="0" w:color="7030A0"/>
              <w:bottom w:val="single" w:sz="18" w:space="0" w:color="538135" w:themeColor="accent6" w:themeShade="BF"/>
            </w:tcBorders>
          </w:tcPr>
          <w:p w14:paraId="218FC85A" w14:textId="77777777" w:rsidR="00BF1A9F" w:rsidRDefault="00BF1A9F" w:rsidP="006A5562">
            <w:pPr>
              <w:spacing w:before="120" w:after="120"/>
            </w:pPr>
          </w:p>
        </w:tc>
      </w:tr>
      <w:tr w:rsidR="00D340C5" w14:paraId="58F5A2B4" w14:textId="77777777" w:rsidTr="004B4EAF">
        <w:tc>
          <w:tcPr>
            <w:tcW w:w="9350"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A2F5921" w14:textId="557B0255" w:rsidR="00697146" w:rsidRDefault="00D340C5" w:rsidP="006A5562">
            <w:pPr>
              <w:spacing w:before="120" w:after="120"/>
              <w:jc w:val="center"/>
              <w:rPr>
                <w:b/>
                <w:bCs/>
              </w:rPr>
            </w:pPr>
            <w:r w:rsidRPr="00BF1A9F">
              <w:rPr>
                <w:b/>
                <w:bCs/>
              </w:rPr>
              <w:t xml:space="preserve">Option </w:t>
            </w:r>
            <w:r w:rsidR="00AB0117">
              <w:rPr>
                <w:b/>
                <w:bCs/>
              </w:rPr>
              <w:t>2</w:t>
            </w:r>
            <w:r w:rsidR="00597F5B">
              <w:rPr>
                <w:b/>
                <w:bCs/>
              </w:rPr>
              <w:t>:</w:t>
            </w:r>
          </w:p>
          <w:p w14:paraId="415435AA" w14:textId="2A81FF60" w:rsidR="00597F5B" w:rsidRDefault="00597F5B" w:rsidP="006A5562">
            <w:pPr>
              <w:spacing w:before="120" w:after="120"/>
              <w:jc w:val="center"/>
            </w:pPr>
            <w:r w:rsidRPr="00424885">
              <w:t>The vendor moves all non-compliant functionality into the non-approved mode of operation from the approved mode of operation</w:t>
            </w:r>
            <w:r w:rsidR="00EC633E">
              <w:t>.</w:t>
            </w:r>
          </w:p>
          <w:p w14:paraId="7B7C5CAA" w14:textId="77777777" w:rsidR="003F564C" w:rsidRDefault="003F564C" w:rsidP="00EC633E">
            <w:pPr>
              <w:spacing w:before="120" w:after="120"/>
              <w:rPr>
                <w:b/>
                <w:bCs/>
              </w:rPr>
            </w:pPr>
          </w:p>
          <w:p w14:paraId="73A2FD5D" w14:textId="77777777" w:rsidR="00697146" w:rsidRDefault="00AB0117" w:rsidP="006A5562">
            <w:pPr>
              <w:spacing w:before="120" w:after="120"/>
              <w:jc w:val="center"/>
              <w:rPr>
                <w:b/>
                <w:bCs/>
              </w:rPr>
            </w:pPr>
            <w:r>
              <w:rPr>
                <w:b/>
                <w:bCs/>
              </w:rPr>
              <w:t>Option 3</w:t>
            </w:r>
            <w:r w:rsidR="003F564C">
              <w:rPr>
                <w:b/>
                <w:bCs/>
              </w:rPr>
              <w:t xml:space="preserve">: </w:t>
            </w:r>
          </w:p>
          <w:p w14:paraId="7FA430EB" w14:textId="2AF77DD4" w:rsidR="00AB0117" w:rsidRDefault="003F564C" w:rsidP="006A5562">
            <w:pPr>
              <w:spacing w:before="120" w:after="120"/>
              <w:jc w:val="center"/>
            </w:pPr>
            <w:r w:rsidRPr="0029109B">
              <w:t xml:space="preserve">The vendor recategorizes the non-compliant functionality as claiming no security per </w:t>
            </w:r>
            <w:hyperlink w:anchor="_1.23_Definition_and" w:history="1">
              <w:r>
                <w:rPr>
                  <w:color w:val="0000FF"/>
                  <w:u w:val="single"/>
                </w:rPr>
                <w:t>IG 2.4.A</w:t>
              </w:r>
            </w:hyperlink>
            <w:r w:rsidRPr="0029109B">
              <w:t>, and this functionality remains in the approved mode of operation.</w:t>
            </w:r>
          </w:p>
        </w:tc>
      </w:tr>
      <w:tr w:rsidR="00D340C5" w14:paraId="2F1C39CA"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C1A5D2D" w14:textId="5CC38AA9" w:rsidR="00D340C5" w:rsidRDefault="00D620B7" w:rsidP="006A5562">
            <w:pPr>
              <w:spacing w:before="120" w:after="120"/>
            </w:pPr>
            <w:r>
              <w:t>T</w:t>
            </w:r>
            <w:r w:rsidRPr="0029109B">
              <w:t xml:space="preserve">he </w:t>
            </w:r>
            <w:r>
              <w:t>CSTL</w:t>
            </w:r>
            <w:r w:rsidRPr="0029109B">
              <w:t xml:space="preserve"> </w:t>
            </w:r>
            <w:r w:rsidRPr="0029109B">
              <w:rPr>
                <w:b/>
                <w:bCs/>
                <w:color w:val="FF0000"/>
              </w:rPr>
              <w:t>shall</w:t>
            </w:r>
            <w:r w:rsidRPr="0029109B">
              <w:rPr>
                <w:color w:val="FF0000"/>
              </w:rPr>
              <w:t xml:space="preserve"> </w:t>
            </w:r>
            <w:r w:rsidR="001070B0">
              <w:t>state</w:t>
            </w:r>
            <w:r w:rsidRPr="0029109B">
              <w:t xml:space="preserve"> that the change to address the transition is purely documentational and which option applies.</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6A753FC4" w14:textId="77777777" w:rsidR="00D340C5" w:rsidRDefault="00D340C5" w:rsidP="006A5562">
            <w:pPr>
              <w:spacing w:before="120" w:after="120"/>
            </w:pPr>
          </w:p>
        </w:tc>
      </w:tr>
      <w:tr w:rsidR="005C746F" w14:paraId="537DA1E5"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05ABD2B" w14:textId="27B95DFE" w:rsidR="005C746F" w:rsidRPr="00CB121B" w:rsidRDefault="005C746F" w:rsidP="006A5562">
            <w:pPr>
              <w:spacing w:before="120" w:after="120"/>
            </w:pPr>
            <w:r w:rsidRPr="00804D6F">
              <w:t xml:space="preserve">The CSTL </w:t>
            </w:r>
            <w:r w:rsidRPr="00804D6F">
              <w:rPr>
                <w:b/>
                <w:color w:val="FF0000"/>
              </w:rPr>
              <w:t>shall</w:t>
            </w:r>
            <w:r w:rsidRPr="00804D6F">
              <w:t xml:space="preserve"> determine that security relevant changes to the module are only to address a specific CMVP </w:t>
            </w:r>
            <w:r w:rsidRPr="00804D6F">
              <w:rPr>
                <w:color w:val="000000"/>
              </w:rPr>
              <w:t>transition</w:t>
            </w:r>
            <w:r w:rsidRPr="00804D6F">
              <w:t>.</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7417E373" w14:textId="77777777" w:rsidR="005C746F" w:rsidRDefault="005C746F" w:rsidP="006A5562">
            <w:pPr>
              <w:spacing w:before="120" w:after="120"/>
            </w:pPr>
          </w:p>
        </w:tc>
      </w:tr>
      <w:tr w:rsidR="005C746F" w14:paraId="18A5808E"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545B2480" w14:textId="3EA2088B" w:rsidR="005C746F" w:rsidRPr="00CB121B" w:rsidRDefault="005C746F" w:rsidP="006A5562">
            <w:pPr>
              <w:spacing w:before="120" w:after="120"/>
            </w:pPr>
            <w:r w:rsidRPr="00804D6F">
              <w:lastRenderedPageBreak/>
              <w:t xml:space="preserve">The CSTL </w:t>
            </w:r>
            <w:r w:rsidRPr="00804D6F">
              <w:rPr>
                <w:b/>
                <w:color w:val="FF0000"/>
              </w:rPr>
              <w:t>shall</w:t>
            </w:r>
            <w:r w:rsidRPr="00804D6F">
              <w:t xml:space="preserve"> examine each modification and confirm that the change does not conflict with the requirements of FIPS 140-3.</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794203C" w14:textId="77777777" w:rsidR="005C746F" w:rsidRDefault="005C746F" w:rsidP="006A5562">
            <w:pPr>
              <w:spacing w:before="120" w:after="120"/>
            </w:pPr>
          </w:p>
        </w:tc>
      </w:tr>
      <w:tr w:rsidR="005C746F" w14:paraId="760BC04F"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68E1D053" w14:textId="1001D6E5" w:rsidR="005C746F" w:rsidRDefault="005C746F" w:rsidP="006A5562">
            <w:pPr>
              <w:spacing w:before="120" w:after="120"/>
            </w:pPr>
            <w:r w:rsidRPr="00804D6F">
              <w:t xml:space="preserve">The CSTL </w:t>
            </w:r>
            <w:r w:rsidRPr="00804D6F">
              <w:rPr>
                <w:b/>
                <w:color w:val="FF0000"/>
              </w:rPr>
              <w:t>shall</w:t>
            </w:r>
            <w:r w:rsidRPr="00804D6F">
              <w:t xml:space="preserve"> determine that no other modifications have been made.  The vendor is not required to address IGs or guidance that have been published since submission of the original module, unless directly applicable to the transitioning algorithm (e.g., CAVP testing or self-test requirements).</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E803AB7" w14:textId="77777777" w:rsidR="005C746F" w:rsidRDefault="005C746F" w:rsidP="006A5562">
            <w:pPr>
              <w:spacing w:before="120" w:after="120"/>
            </w:pPr>
          </w:p>
          <w:p w14:paraId="53149C33" w14:textId="77777777" w:rsidR="005C746F" w:rsidRDefault="005C746F" w:rsidP="006A5562">
            <w:pPr>
              <w:spacing w:before="120" w:after="120"/>
            </w:pPr>
          </w:p>
          <w:p w14:paraId="519B5554" w14:textId="77777777" w:rsidR="005C746F" w:rsidRDefault="005C746F" w:rsidP="006A5562">
            <w:pPr>
              <w:spacing w:before="120" w:after="120"/>
            </w:pPr>
          </w:p>
          <w:p w14:paraId="68D69D63" w14:textId="77777777" w:rsidR="005C746F" w:rsidRDefault="005C746F" w:rsidP="006A5562">
            <w:pPr>
              <w:spacing w:before="120" w:after="120"/>
            </w:pPr>
          </w:p>
          <w:p w14:paraId="3A01E71B" w14:textId="0C60D79A" w:rsidR="005C746F" w:rsidRPr="0083522E" w:rsidRDefault="005C746F" w:rsidP="006A5562">
            <w:pPr>
              <w:tabs>
                <w:tab w:val="left" w:pos="2880"/>
              </w:tabs>
              <w:spacing w:before="120" w:after="120"/>
            </w:pPr>
            <w:r>
              <w:tab/>
            </w:r>
          </w:p>
        </w:tc>
      </w:tr>
      <w:tr w:rsidR="005C746F" w14:paraId="513FB2A3"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BDD9E2C" w14:textId="39280B7D" w:rsidR="005C746F" w:rsidRDefault="005C746F" w:rsidP="006A5562">
            <w:pPr>
              <w:spacing w:before="120" w:after="120"/>
            </w:pPr>
            <w:r w:rsidRPr="00804D6F">
              <w:t xml:space="preserve">The CSTL </w:t>
            </w:r>
            <w:r w:rsidRPr="00804D6F">
              <w:rPr>
                <w:b/>
                <w:bCs/>
                <w:color w:val="FF0000"/>
              </w:rPr>
              <w:t>shall</w:t>
            </w:r>
            <w:r w:rsidRPr="00804D6F">
              <w:rPr>
                <w:color w:val="FF0000"/>
              </w:rPr>
              <w:t xml:space="preserve"> </w:t>
            </w:r>
            <w:r w:rsidRPr="00804D6F">
              <w:t xml:space="preserve">identify the assertions affected by the security-relevant documentation modification and </w:t>
            </w:r>
            <w:r w:rsidRPr="00804D6F">
              <w:rPr>
                <w:b/>
                <w:bCs/>
                <w:color w:val="FF0000"/>
              </w:rPr>
              <w:t>shall</w:t>
            </w:r>
            <w:r w:rsidRPr="00804D6F">
              <w:rPr>
                <w:color w:val="FF0000"/>
              </w:rPr>
              <w:t xml:space="preserve"> </w:t>
            </w:r>
            <w:r w:rsidRPr="00804D6F">
              <w:t>perform the tests associated with those assertions.</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4009C10C" w14:textId="77777777" w:rsidR="005C746F" w:rsidRDefault="005C746F" w:rsidP="006A5562">
            <w:pPr>
              <w:spacing w:before="120" w:after="120"/>
            </w:pPr>
          </w:p>
        </w:tc>
      </w:tr>
      <w:tr w:rsidR="005C746F" w14:paraId="2B13A6C9"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3B509C9" w14:textId="504D7D2C" w:rsidR="005C746F" w:rsidRDefault="005C746F" w:rsidP="006A5562">
            <w:pPr>
              <w:spacing w:before="120" w:after="120"/>
            </w:pPr>
            <w:r w:rsidRPr="00804D6F">
              <w:t xml:space="preserve">The CSTL </w:t>
            </w:r>
            <w:r w:rsidRPr="00804D6F">
              <w:rPr>
                <w:b/>
                <w:bCs/>
                <w:color w:val="FF0000"/>
              </w:rPr>
              <w:t>shall</w:t>
            </w:r>
            <w:r w:rsidRPr="00804D6F">
              <w:rPr>
                <w:color w:val="FF0000"/>
              </w:rPr>
              <w:t xml:space="preserve"> </w:t>
            </w:r>
            <w:r w:rsidRPr="00804D6F">
              <w:t>demonstrate how the module still meets IG 2.4.C after the reclassification of non-compliant functionality into the non-approved mode of operation.</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23450D15" w14:textId="77777777" w:rsidR="005C746F" w:rsidRDefault="005C746F" w:rsidP="006A5562">
            <w:pPr>
              <w:spacing w:before="120" w:after="120"/>
            </w:pPr>
          </w:p>
        </w:tc>
      </w:tr>
      <w:tr w:rsidR="005C746F" w14:paraId="363BA618"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66E753FF" w14:textId="6AD40D46" w:rsidR="005C746F" w:rsidRDefault="00662EC5" w:rsidP="006A5562">
            <w:pPr>
              <w:spacing w:before="120" w:after="120"/>
            </w:pPr>
            <w:r w:rsidRPr="001D326E">
              <w:t xml:space="preserve">In addition to the tests performed against the affected assertions, the CSTL </w:t>
            </w:r>
            <w:r w:rsidRPr="001D326E">
              <w:rPr>
                <w:b/>
                <w:color w:val="FF0000"/>
              </w:rPr>
              <w:t>shall</w:t>
            </w:r>
            <w:r w:rsidRPr="001D326E">
              <w:rPr>
                <w:color w:val="FF0000"/>
              </w:rPr>
              <w:t xml:space="preserve"> </w:t>
            </w:r>
            <w:r w:rsidRPr="001D326E">
              <w:t xml:space="preserve">also perform the </w:t>
            </w:r>
            <w:r w:rsidRPr="001D326E">
              <w:rPr>
                <w:lang w:val="en"/>
              </w:rPr>
              <w:t xml:space="preserve">predefined regression tests shown on the </w:t>
            </w:r>
            <w:hyperlink r:id="rId21" w:history="1">
              <w:r w:rsidRPr="001D326E">
                <w:rPr>
                  <w:color w:val="0000FF"/>
                  <w:u w:val="single"/>
                  <w:lang w:val="en"/>
                </w:rPr>
                <w:t>CMVP website</w:t>
              </w:r>
            </w:hyperlink>
            <w:r>
              <w:rPr>
                <w:lang w:val="en"/>
              </w:rPr>
              <w:t xml:space="preserve"> </w:t>
            </w:r>
            <w:r w:rsidRPr="001D326E">
              <w:rPr>
                <w:lang w:val="en"/>
              </w:rPr>
              <w:t>under TR</w:t>
            </w:r>
            <w:r>
              <w:rPr>
                <w:lang w:val="en"/>
              </w:rPr>
              <w:t xml:space="preserve">NS </w:t>
            </w:r>
            <w:r w:rsidRPr="001D326E">
              <w:t>on all versions listed on the module’s certificate and on at least one of the listed OEs for hybrid or software/firmware modules (if the module binary image is identical across all OEs; if not, testing on at least every binary image is required).</w:t>
            </w:r>
            <w:r w:rsidR="005C746F" w:rsidRPr="005E5722">
              <w:t xml:space="preserve">  </w:t>
            </w:r>
          </w:p>
          <w:p w14:paraId="2BF243CA" w14:textId="1A423F65" w:rsidR="005C746F" w:rsidRDefault="005C746F" w:rsidP="006A5562">
            <w:pPr>
              <w:spacing w:before="120" w:after="120"/>
            </w:pPr>
            <w:r w:rsidRPr="00804D6F">
              <w:t xml:space="preserve">The only exception to this requirement is if the algorithm being transitioned is part of a standalone service and is not used by any other module service (e.g., cryptographic library where the module only provides the algorithm as an API service to a calling application as a stand-alone service).  In this case, the CSTL </w:t>
            </w:r>
            <w:r w:rsidRPr="00804D6F">
              <w:rPr>
                <w:b/>
                <w:bCs/>
                <w:color w:val="FF0000"/>
              </w:rPr>
              <w:t>shall</w:t>
            </w:r>
            <w:r w:rsidRPr="00804D6F">
              <w:t xml:space="preserve"> provide justification on why regression testing is not necessary at all.</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081F5CE6" w14:textId="77777777" w:rsidR="005C746F" w:rsidRDefault="005C746F" w:rsidP="006A5562">
            <w:pPr>
              <w:spacing w:before="120" w:after="120"/>
            </w:pPr>
          </w:p>
        </w:tc>
      </w:tr>
      <w:tr w:rsidR="005C746F" w14:paraId="3C2F8F3B"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0C2BB3B" w14:textId="3C72A266" w:rsidR="005C746F" w:rsidRPr="002D3B21" w:rsidRDefault="005C746F" w:rsidP="006A5562">
            <w:pPr>
              <w:spacing w:before="120" w:after="120"/>
              <w:rPr>
                <w:rFonts w:eastAsia="Calibri"/>
              </w:rPr>
            </w:pPr>
            <w:r w:rsidRPr="005E5722">
              <w:t xml:space="preserve">The CSTL </w:t>
            </w:r>
            <w:r w:rsidRPr="005E5722">
              <w:rPr>
                <w:b/>
                <w:bCs/>
                <w:color w:val="FF0000"/>
              </w:rPr>
              <w:t>shall</w:t>
            </w:r>
            <w:r w:rsidRPr="005E5722">
              <w:rPr>
                <w:color w:val="FF0000"/>
              </w:rPr>
              <w:t xml:space="preserve"> </w:t>
            </w:r>
            <w:r w:rsidRPr="005E5722">
              <w:t xml:space="preserve">provide justification on why regression testing is not necessary for the untested OEs.  With proper justification, these may remain on the module’s certificate.  </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3995A033" w14:textId="77777777" w:rsidR="005C746F" w:rsidRDefault="005C746F" w:rsidP="006A5562">
            <w:pPr>
              <w:spacing w:before="120" w:after="120"/>
            </w:pPr>
          </w:p>
        </w:tc>
      </w:tr>
      <w:tr w:rsidR="005C746F" w14:paraId="0E1C4E19" w14:textId="77777777" w:rsidTr="004B4EAF">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2D003A41" w14:textId="14CCF94D" w:rsidR="005C746F" w:rsidRPr="002D3B21" w:rsidRDefault="005C746F" w:rsidP="006A5562">
            <w:pPr>
              <w:spacing w:before="120" w:after="120"/>
              <w:rPr>
                <w:rFonts w:eastAsia="Calibri"/>
              </w:rPr>
            </w:pPr>
            <w:r w:rsidRPr="005E5722">
              <w:t xml:space="preserve">If regression testing is not performed on some versions, then those </w:t>
            </w:r>
            <w:r w:rsidRPr="005E5722">
              <w:rPr>
                <w:b/>
                <w:bCs/>
                <w:color w:val="FF0000"/>
              </w:rPr>
              <w:t>shall</w:t>
            </w:r>
            <w:r w:rsidRPr="005E5722">
              <w:rPr>
                <w:color w:val="FF0000"/>
              </w:rPr>
              <w:t xml:space="preserve"> </w:t>
            </w:r>
            <w:r w:rsidRPr="005E5722">
              <w:t xml:space="preserve">be removed from the module’s certificate. OEs without proper justification or regression testing </w:t>
            </w:r>
            <w:r w:rsidRPr="005E5722">
              <w:rPr>
                <w:b/>
                <w:bCs/>
                <w:color w:val="FF0000"/>
              </w:rPr>
              <w:t>shall</w:t>
            </w:r>
            <w:r w:rsidRPr="005E5722">
              <w:rPr>
                <w:color w:val="FF0000"/>
              </w:rPr>
              <w:t xml:space="preserve"> </w:t>
            </w:r>
            <w:r w:rsidRPr="005E5722">
              <w:t>be removed from the module’s certificate.</w:t>
            </w:r>
          </w:p>
        </w:tc>
        <w:tc>
          <w:tcPr>
            <w:tcW w:w="4675"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7CC78A94" w14:textId="77777777" w:rsidR="005C746F" w:rsidRDefault="005C746F" w:rsidP="006A5562">
            <w:pPr>
              <w:spacing w:before="120" w:after="120"/>
            </w:pPr>
          </w:p>
        </w:tc>
      </w:tr>
      <w:tr w:rsidR="005C746F" w14:paraId="6EF1CEED" w14:textId="77777777" w:rsidTr="003F7238">
        <w:tc>
          <w:tcPr>
            <w:tcW w:w="4675" w:type="dxa"/>
            <w:tcBorders>
              <w:top w:val="single" w:sz="18" w:space="0" w:color="538135" w:themeColor="accent6" w:themeShade="BF"/>
              <w:left w:val="single" w:sz="18" w:space="0" w:color="538135" w:themeColor="accent6" w:themeShade="BF"/>
              <w:bottom w:val="single" w:sz="4" w:space="0" w:color="auto"/>
              <w:right w:val="single" w:sz="18" w:space="0" w:color="538135" w:themeColor="accent6" w:themeShade="BF"/>
            </w:tcBorders>
          </w:tcPr>
          <w:p w14:paraId="0C177A7B" w14:textId="1684B513" w:rsidR="005C746F" w:rsidRPr="002D3B21" w:rsidRDefault="005C746F" w:rsidP="006A5562">
            <w:pPr>
              <w:spacing w:before="120" w:after="120"/>
              <w:rPr>
                <w:rFonts w:eastAsia="Calibri"/>
              </w:rPr>
            </w:pPr>
            <w:r w:rsidRPr="00804D6F">
              <w:t xml:space="preserve">The CSTL </w:t>
            </w:r>
            <w:r w:rsidRPr="00804D6F">
              <w:rPr>
                <w:b/>
                <w:bCs/>
                <w:color w:val="FF0000"/>
              </w:rPr>
              <w:t>shall</w:t>
            </w:r>
            <w:r w:rsidRPr="00804D6F">
              <w:rPr>
                <w:color w:val="FF0000"/>
              </w:rPr>
              <w:t xml:space="preserve"> </w:t>
            </w:r>
            <w:r w:rsidRPr="00804D6F">
              <w:t xml:space="preserve">provide assurance that the non-compliant functionality is not used to meet any FIPS </w:t>
            </w:r>
            <w:r w:rsidRPr="00804D6F">
              <w:lastRenderedPageBreak/>
              <w:t>140-3 requirements (key/CSP establishment, generation, storage, etc.).</w:t>
            </w:r>
          </w:p>
        </w:tc>
        <w:tc>
          <w:tcPr>
            <w:tcW w:w="4675" w:type="dxa"/>
            <w:tcBorders>
              <w:top w:val="single" w:sz="18" w:space="0" w:color="538135" w:themeColor="accent6" w:themeShade="BF"/>
              <w:left w:val="single" w:sz="18" w:space="0" w:color="538135" w:themeColor="accent6" w:themeShade="BF"/>
              <w:bottom w:val="single" w:sz="4" w:space="0" w:color="auto"/>
              <w:right w:val="single" w:sz="18" w:space="0" w:color="538135" w:themeColor="accent6" w:themeShade="BF"/>
            </w:tcBorders>
          </w:tcPr>
          <w:p w14:paraId="7BC27AE6" w14:textId="77777777" w:rsidR="005C746F" w:rsidRDefault="005C746F" w:rsidP="006A5562">
            <w:pPr>
              <w:spacing w:before="120" w:after="120"/>
            </w:pPr>
          </w:p>
        </w:tc>
      </w:tr>
      <w:tr w:rsidR="00657C02" w14:paraId="4F1E306D" w14:textId="77777777" w:rsidTr="003F7238">
        <w:tc>
          <w:tcPr>
            <w:tcW w:w="4675" w:type="dxa"/>
            <w:tcBorders>
              <w:top w:val="single" w:sz="18" w:space="0" w:color="538135" w:themeColor="accent6" w:themeShade="BF"/>
              <w:left w:val="single" w:sz="18" w:space="0" w:color="538135" w:themeColor="accent6" w:themeShade="BF"/>
              <w:bottom w:val="single" w:sz="4" w:space="0" w:color="auto"/>
              <w:right w:val="single" w:sz="18" w:space="0" w:color="538135" w:themeColor="accent6" w:themeShade="BF"/>
            </w:tcBorders>
          </w:tcPr>
          <w:p w14:paraId="0D57B3FE" w14:textId="49DC6949" w:rsidR="00657C02" w:rsidRPr="00804D6F" w:rsidRDefault="00657C02" w:rsidP="006A5562">
            <w:pPr>
              <w:spacing w:before="120" w:after="120"/>
            </w:pPr>
            <w:r w:rsidRPr="001D326E">
              <w:t>In order to accommodate vendors who are updating their validation to prepare for an algorithm transition, fully compliant TRNS or ALG revalidations that have addressed the transition and are</w:t>
            </w:r>
            <w:r w:rsidRPr="001D326E">
              <w:rPr>
                <w:u w:val="single"/>
              </w:rPr>
              <w:t xml:space="preserve"> submitted to the CMVP before the date the transition is to take effect</w:t>
            </w:r>
            <w:r w:rsidRPr="001D326E">
              <w:t xml:space="preserve">, will remain on the active list through the completion of the revalidation, even if it is not completed until after the transition date, unless the algorithm transition is to address a security concern that is deemed unacceptable by the CMVP.  For newly submitted ALG submissions that address the transition, the CSTL </w:t>
            </w:r>
            <w:r w:rsidRPr="001D326E">
              <w:rPr>
                <w:b/>
                <w:bCs/>
                <w:color w:val="FF0000"/>
              </w:rPr>
              <w:t>shall</w:t>
            </w:r>
            <w:r w:rsidRPr="001D326E">
              <w:t xml:space="preserve"> include in the Special Instructions field the text “</w:t>
            </w:r>
            <w:proofErr w:type="spellStart"/>
            <w:r w:rsidRPr="001D326E">
              <w:t>algorithm_transition</w:t>
            </w:r>
            <w:proofErr w:type="spellEnd"/>
            <w:r w:rsidRPr="001D326E">
              <w:t>” (with or without the underscore) in order for the CMVP not to move this submission to the historical list come the algorithm transition date.</w:t>
            </w:r>
          </w:p>
        </w:tc>
        <w:tc>
          <w:tcPr>
            <w:tcW w:w="4675" w:type="dxa"/>
            <w:tcBorders>
              <w:top w:val="single" w:sz="18" w:space="0" w:color="538135" w:themeColor="accent6" w:themeShade="BF"/>
              <w:left w:val="single" w:sz="18" w:space="0" w:color="538135" w:themeColor="accent6" w:themeShade="BF"/>
              <w:bottom w:val="single" w:sz="4" w:space="0" w:color="auto"/>
              <w:right w:val="single" w:sz="18" w:space="0" w:color="538135" w:themeColor="accent6" w:themeShade="BF"/>
            </w:tcBorders>
          </w:tcPr>
          <w:p w14:paraId="78A0E280" w14:textId="77777777" w:rsidR="00657C02" w:rsidRDefault="00657C02" w:rsidP="006A5562">
            <w:pPr>
              <w:spacing w:before="120" w:after="120"/>
            </w:pPr>
          </w:p>
        </w:tc>
      </w:tr>
      <w:tr w:rsidR="001F7C05" w14:paraId="0622D8C2" w14:textId="77777777" w:rsidTr="003F7238">
        <w:trPr>
          <w:trHeight w:hRule="exact" w:val="29"/>
        </w:trPr>
        <w:tc>
          <w:tcPr>
            <w:tcW w:w="9350" w:type="dxa"/>
            <w:gridSpan w:val="2"/>
            <w:tcBorders>
              <w:top w:val="single" w:sz="4" w:space="0" w:color="auto"/>
              <w:bottom w:val="single" w:sz="18" w:space="0" w:color="2F5496" w:themeColor="accent1" w:themeShade="BF"/>
            </w:tcBorders>
          </w:tcPr>
          <w:p w14:paraId="43C560E4" w14:textId="3F229A4B" w:rsidR="001F7C05" w:rsidRPr="00775EAE" w:rsidRDefault="001F7C05" w:rsidP="006A5562">
            <w:pPr>
              <w:spacing w:before="120" w:after="120"/>
              <w:jc w:val="center"/>
              <w:rPr>
                <w:rFonts w:eastAsia="Calibri"/>
                <w:b/>
                <w:bCs/>
              </w:rPr>
            </w:pPr>
          </w:p>
        </w:tc>
      </w:tr>
      <w:tr w:rsidR="003F7238" w14:paraId="282BB2F7" w14:textId="77777777" w:rsidTr="003F7238">
        <w:tc>
          <w:tcPr>
            <w:tcW w:w="9350" w:type="dxa"/>
            <w:gridSpan w:val="2"/>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39CA7D0A" w14:textId="2928B0E7" w:rsidR="003F7238" w:rsidRPr="00775EAE" w:rsidRDefault="003F7238" w:rsidP="006A5562">
            <w:pPr>
              <w:spacing w:before="120" w:after="120"/>
              <w:jc w:val="center"/>
              <w:rPr>
                <w:rFonts w:eastAsia="Calibri"/>
                <w:b/>
                <w:bCs/>
              </w:rPr>
            </w:pPr>
            <w:r w:rsidRPr="00775EAE">
              <w:rPr>
                <w:rFonts w:eastAsia="Calibri"/>
                <w:b/>
                <w:bCs/>
              </w:rPr>
              <w:t>Option 2</w:t>
            </w:r>
          </w:p>
        </w:tc>
      </w:tr>
      <w:tr w:rsidR="003F7238" w14:paraId="43F6B47E" w14:textId="77777777" w:rsidTr="003F7238">
        <w:tc>
          <w:tcPr>
            <w:tcW w:w="4675"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5BD31F7E" w14:textId="7C2352EB" w:rsidR="003F7238" w:rsidRPr="002D3B21" w:rsidRDefault="003F7238" w:rsidP="006A5562">
            <w:pPr>
              <w:spacing w:before="120" w:after="120"/>
              <w:rPr>
                <w:rFonts w:eastAsia="Calibri"/>
              </w:rPr>
            </w:pPr>
            <w:r w:rsidRPr="00804D6F">
              <w:t xml:space="preserve">The CSTL </w:t>
            </w:r>
            <w:r w:rsidRPr="00804D6F">
              <w:rPr>
                <w:b/>
                <w:bCs/>
                <w:color w:val="FF0000"/>
              </w:rPr>
              <w:t>shall</w:t>
            </w:r>
            <w:r w:rsidRPr="00804D6F">
              <w:rPr>
                <w:color w:val="FF0000"/>
              </w:rPr>
              <w:t xml:space="preserve"> </w:t>
            </w:r>
            <w:r w:rsidRPr="00804D6F">
              <w:t xml:space="preserve">provide assurance, upon module examination, that no service, algorithm or CSP that relied on or used the non-compliant functionality, parameters, keys, etc. remain in the approved mode.  The approved mode </w:t>
            </w:r>
            <w:r w:rsidRPr="00804D6F">
              <w:rPr>
                <w:b/>
                <w:bCs/>
                <w:color w:val="FF0000"/>
              </w:rPr>
              <w:t>shall</w:t>
            </w:r>
            <w:r w:rsidRPr="00804D6F">
              <w:rPr>
                <w:color w:val="FF0000"/>
              </w:rPr>
              <w:t xml:space="preserve"> </w:t>
            </w:r>
            <w:r w:rsidRPr="00804D6F">
              <w:t>only contain approved services.</w:t>
            </w:r>
          </w:p>
        </w:tc>
        <w:tc>
          <w:tcPr>
            <w:tcW w:w="4675"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4D6C0488" w14:textId="77777777" w:rsidR="003F7238" w:rsidRDefault="003F7238" w:rsidP="006A5562">
            <w:pPr>
              <w:spacing w:before="120" w:after="120"/>
            </w:pPr>
          </w:p>
        </w:tc>
      </w:tr>
      <w:tr w:rsidR="003F7238" w14:paraId="2C9259B5" w14:textId="77777777" w:rsidTr="007D250A">
        <w:tc>
          <w:tcPr>
            <w:tcW w:w="4675"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1001844B" w14:textId="5132DE44" w:rsidR="003F7238" w:rsidRPr="002D3B21" w:rsidRDefault="003F7238" w:rsidP="006A5562">
            <w:pPr>
              <w:spacing w:before="120" w:after="120"/>
              <w:rPr>
                <w:rFonts w:eastAsia="Calibri"/>
              </w:rPr>
            </w:pPr>
            <w:r w:rsidRPr="00804D6F">
              <w:t xml:space="preserve">Documentation </w:t>
            </w:r>
            <w:r w:rsidRPr="00804D6F">
              <w:rPr>
                <w:b/>
                <w:bCs/>
                <w:color w:val="FF0000"/>
              </w:rPr>
              <w:t>shall</w:t>
            </w:r>
            <w:r w:rsidRPr="00804D6F">
              <w:rPr>
                <w:color w:val="FF0000"/>
              </w:rPr>
              <w:t xml:space="preserve"> </w:t>
            </w:r>
            <w:r w:rsidRPr="00804D6F">
              <w:t>be updated to indicate the module does not utilize non-compliant functionality in the approved mode of operation.</w:t>
            </w:r>
          </w:p>
        </w:tc>
        <w:tc>
          <w:tcPr>
            <w:tcW w:w="4675" w:type="dxa"/>
            <w:tc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tcBorders>
          </w:tcPr>
          <w:p w14:paraId="253CE7B9" w14:textId="77777777" w:rsidR="003F7238" w:rsidRDefault="003F7238" w:rsidP="006A5562">
            <w:pPr>
              <w:spacing w:before="120" w:after="120"/>
            </w:pPr>
          </w:p>
        </w:tc>
      </w:tr>
      <w:tr w:rsidR="003F7238" w14:paraId="713A1AF0" w14:textId="77777777" w:rsidTr="00161CE0">
        <w:trPr>
          <w:trHeight w:hRule="exact" w:val="29"/>
        </w:trPr>
        <w:tc>
          <w:tcPr>
            <w:tcW w:w="9350" w:type="dxa"/>
            <w:gridSpan w:val="2"/>
            <w:tcBorders>
              <w:top w:val="single" w:sz="18" w:space="0" w:color="2F5496" w:themeColor="accent1" w:themeShade="BF"/>
              <w:bottom w:val="single" w:sz="18" w:space="0" w:color="C45911" w:themeColor="accent2" w:themeShade="BF"/>
            </w:tcBorders>
          </w:tcPr>
          <w:p w14:paraId="390ADFD7" w14:textId="330C504B" w:rsidR="003F7238" w:rsidRPr="00775EAE" w:rsidRDefault="003F7238" w:rsidP="006A5562">
            <w:pPr>
              <w:spacing w:before="120" w:after="120"/>
              <w:jc w:val="center"/>
              <w:rPr>
                <w:b/>
                <w:bCs/>
              </w:rPr>
            </w:pPr>
          </w:p>
        </w:tc>
      </w:tr>
      <w:tr w:rsidR="007D250A" w14:paraId="43297D52" w14:textId="77777777" w:rsidTr="007D250A">
        <w:tc>
          <w:tcPr>
            <w:tcW w:w="9350" w:type="dxa"/>
            <w:gridSpan w:val="2"/>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7B1A833C" w14:textId="2EC3F3E1" w:rsidR="007D250A" w:rsidRPr="007D250A" w:rsidRDefault="007D250A" w:rsidP="006A5562">
            <w:pPr>
              <w:spacing w:before="120" w:after="120"/>
              <w:jc w:val="center"/>
              <w:rPr>
                <w:rFonts w:eastAsia="Calibri"/>
                <w:b/>
                <w:bCs/>
              </w:rPr>
            </w:pPr>
            <w:r w:rsidRPr="00775EAE">
              <w:rPr>
                <w:rFonts w:eastAsia="Calibri"/>
                <w:b/>
                <w:bCs/>
              </w:rPr>
              <w:t>Option 3</w:t>
            </w:r>
          </w:p>
        </w:tc>
      </w:tr>
      <w:tr w:rsidR="007D250A" w14:paraId="2750636A" w14:textId="77777777" w:rsidTr="007D250A">
        <w:tc>
          <w:tcPr>
            <w:tcW w:w="4675"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5B9ACEAE" w14:textId="4706CE5C" w:rsidR="007D250A" w:rsidRPr="002D3B21" w:rsidRDefault="007D250A" w:rsidP="006A5562">
            <w:pPr>
              <w:spacing w:before="120" w:after="120"/>
              <w:rPr>
                <w:rFonts w:eastAsia="Calibri"/>
              </w:rPr>
            </w:pPr>
            <w:r w:rsidRPr="005E5722">
              <w:t xml:space="preserve">The CSTL </w:t>
            </w:r>
            <w:r w:rsidRPr="005E5722">
              <w:rPr>
                <w:b/>
                <w:bCs/>
                <w:color w:val="FF0000"/>
              </w:rPr>
              <w:t>shall</w:t>
            </w:r>
            <w:r w:rsidRPr="005E5722">
              <w:rPr>
                <w:color w:val="FF0000"/>
              </w:rPr>
              <w:t xml:space="preserve"> </w:t>
            </w:r>
            <w:r w:rsidRPr="005E5722">
              <w:t xml:space="preserve">provide justification </w:t>
            </w:r>
            <w:r w:rsidRPr="00D727A3">
              <w:t>on how the requirements of</w:t>
            </w:r>
            <w:r w:rsidRPr="0029109B">
              <w:t xml:space="preserve"> </w:t>
            </w:r>
            <w:hyperlink w:anchor="_1.23_Definition_and" w:history="1">
              <w:r>
                <w:rPr>
                  <w:color w:val="0000FF"/>
                  <w:u w:val="single"/>
                </w:rPr>
                <w:t>IG 2.4.A</w:t>
              </w:r>
            </w:hyperlink>
            <w:r w:rsidRPr="00D727A3">
              <w:t xml:space="preserve"> are met. This scenario is intended to be rarely used/accepted and depends on the purpose or use of the service that utilizes the non-approved algorithms. For example, a software library implementing three-key Triple-DES Encryption as one of its approved services cannot simply state this algorithm does not claim any security (per </w:t>
            </w:r>
            <w:hyperlink w:anchor="_1.23_Definition_and" w:history="1">
              <w:r w:rsidRPr="00D727A3">
                <w:rPr>
                  <w:color w:val="0000FF"/>
                  <w:u w:val="single"/>
                </w:rPr>
                <w:t>IG 2.4.A</w:t>
              </w:r>
            </w:hyperlink>
            <w:r w:rsidRPr="00D727A3">
              <w:t xml:space="preserve">) and be used in the approved mode, as this does not meet 3) or 4) in </w:t>
            </w:r>
            <w:hyperlink w:anchor="_1.23_Definition_and" w:history="1">
              <w:r w:rsidRPr="00D727A3">
                <w:rPr>
                  <w:color w:val="0000FF"/>
                  <w:u w:val="single"/>
                </w:rPr>
                <w:t>IG 2.4.A</w:t>
              </w:r>
            </w:hyperlink>
            <w:r w:rsidRPr="00D727A3">
              <w:t xml:space="preserve"> Additional Comment #2. </w:t>
            </w:r>
          </w:p>
        </w:tc>
        <w:tc>
          <w:tcPr>
            <w:tcW w:w="4675" w:type="dxa"/>
            <w:tc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tcBorders>
          </w:tcPr>
          <w:p w14:paraId="5CF7BE67" w14:textId="77777777" w:rsidR="007D250A" w:rsidRDefault="007D250A" w:rsidP="006A5562">
            <w:pPr>
              <w:spacing w:before="120" w:after="120"/>
            </w:pPr>
          </w:p>
        </w:tc>
      </w:tr>
      <w:tr w:rsidR="007D250A" w14:paraId="40417D4E" w14:textId="77777777" w:rsidTr="00CB206A">
        <w:trPr>
          <w:trHeight w:hRule="exact" w:val="29"/>
        </w:trPr>
        <w:tc>
          <w:tcPr>
            <w:tcW w:w="4675" w:type="dxa"/>
            <w:tcBorders>
              <w:top w:val="single" w:sz="18" w:space="0" w:color="C45911" w:themeColor="accent2" w:themeShade="BF"/>
              <w:bottom w:val="single" w:sz="18" w:space="0" w:color="BF8F00" w:themeColor="accent4" w:themeShade="BF"/>
            </w:tcBorders>
          </w:tcPr>
          <w:p w14:paraId="58EB8C37" w14:textId="77777777" w:rsidR="007D250A" w:rsidRPr="002D3B21" w:rsidRDefault="007D250A" w:rsidP="006A5562">
            <w:pPr>
              <w:spacing w:before="120" w:after="120"/>
              <w:rPr>
                <w:rFonts w:eastAsia="Calibri"/>
              </w:rPr>
            </w:pPr>
          </w:p>
        </w:tc>
        <w:tc>
          <w:tcPr>
            <w:tcW w:w="4675" w:type="dxa"/>
            <w:tcBorders>
              <w:top w:val="single" w:sz="18" w:space="0" w:color="C45911" w:themeColor="accent2" w:themeShade="BF"/>
              <w:bottom w:val="single" w:sz="18" w:space="0" w:color="BF8F00" w:themeColor="accent4" w:themeShade="BF"/>
            </w:tcBorders>
          </w:tcPr>
          <w:p w14:paraId="5F6EFF35" w14:textId="77777777" w:rsidR="007D250A" w:rsidRDefault="007D250A" w:rsidP="006A5562">
            <w:pPr>
              <w:spacing w:before="120" w:after="120"/>
            </w:pPr>
          </w:p>
        </w:tc>
      </w:tr>
      <w:tr w:rsidR="00A06887" w14:paraId="04F37A37" w14:textId="77777777" w:rsidTr="00CB206A">
        <w:tc>
          <w:tcPr>
            <w:tcW w:w="9350" w:type="dxa"/>
            <w:gridSpan w:val="2"/>
            <w:tc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tcBorders>
          </w:tcPr>
          <w:p w14:paraId="36D13655" w14:textId="36002549" w:rsidR="00697146" w:rsidRDefault="00A06887" w:rsidP="006A5562">
            <w:pPr>
              <w:spacing w:before="120" w:after="120"/>
              <w:jc w:val="center"/>
              <w:rPr>
                <w:b/>
                <w:bCs/>
              </w:rPr>
            </w:pPr>
            <w:r w:rsidRPr="00A06887">
              <w:rPr>
                <w:b/>
                <w:bCs/>
              </w:rPr>
              <w:t>Option 4</w:t>
            </w:r>
            <w:r w:rsidR="00697146">
              <w:rPr>
                <w:b/>
                <w:bCs/>
              </w:rPr>
              <w:t xml:space="preserve"> </w:t>
            </w:r>
          </w:p>
          <w:p w14:paraId="7B83A8E6" w14:textId="0CDDDF6E" w:rsidR="00A06887" w:rsidRPr="00A06887" w:rsidRDefault="00697146" w:rsidP="006A5562">
            <w:pPr>
              <w:spacing w:before="120" w:after="120"/>
              <w:jc w:val="center"/>
              <w:rPr>
                <w:b/>
                <w:bCs/>
              </w:rPr>
            </w:pPr>
            <w:r w:rsidRPr="0029109B">
              <w:t xml:space="preserve">A combination of any of three options above (CAVP testing, moving non-compliant functionality into the non-approved mode, and/or recategorized per </w:t>
            </w:r>
            <w:hyperlink w:anchor="_1.23_Definition_and" w:history="1">
              <w:r>
                <w:rPr>
                  <w:color w:val="0000FF"/>
                  <w:u w:val="single"/>
                </w:rPr>
                <w:t>IG 2.4.A</w:t>
              </w:r>
            </w:hyperlink>
            <w:r w:rsidRPr="0029109B">
              <w:t>), in which case, requirements of each option apply.</w:t>
            </w:r>
          </w:p>
        </w:tc>
      </w:tr>
      <w:tr w:rsidR="00F43CEF" w14:paraId="758933E5" w14:textId="77777777" w:rsidTr="00CB206A">
        <w:tc>
          <w:tcPr>
            <w:tcW w:w="4675" w:type="dxa"/>
            <w:tc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tcBorders>
          </w:tcPr>
          <w:p w14:paraId="09DB8547" w14:textId="2604BA6A" w:rsidR="00F43CEF" w:rsidRPr="002D3B21" w:rsidRDefault="00CB206A" w:rsidP="006A5562">
            <w:pPr>
              <w:spacing w:before="120" w:after="120"/>
              <w:rPr>
                <w:rFonts w:eastAsia="Calibri"/>
              </w:rPr>
            </w:pPr>
            <w:r w:rsidRPr="0029109B">
              <w:t xml:space="preserve">Each option </w:t>
            </w:r>
            <w:r w:rsidRPr="0029109B">
              <w:rPr>
                <w:b/>
                <w:bCs/>
                <w:color w:val="FF0000"/>
              </w:rPr>
              <w:t>shall</w:t>
            </w:r>
            <w:r w:rsidRPr="0029109B">
              <w:rPr>
                <w:color w:val="FF0000"/>
              </w:rPr>
              <w:t xml:space="preserve"> </w:t>
            </w:r>
            <w:r w:rsidRPr="0029109B">
              <w:t xml:space="preserve">be listed/indicated in the </w:t>
            </w:r>
            <w:r>
              <w:t>Change Document</w:t>
            </w:r>
            <w:r w:rsidRPr="0029109B">
              <w:t xml:space="preserve"> under Option 4 (e.g. under Option 4, the following are claimed: Options 1 and 2) and note how </w:t>
            </w:r>
            <w:r w:rsidRPr="0029109B">
              <w:lastRenderedPageBreak/>
              <w:t>each of the applicable ‘shall’ statements for each option are met).</w:t>
            </w:r>
          </w:p>
        </w:tc>
        <w:tc>
          <w:tcPr>
            <w:tcW w:w="4675" w:type="dxa"/>
            <w:tc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tcBorders>
          </w:tcPr>
          <w:p w14:paraId="4594B8FA" w14:textId="77777777" w:rsidR="00F43CEF" w:rsidRDefault="00F43CEF" w:rsidP="006A5562">
            <w:pPr>
              <w:spacing w:before="120" w:after="120"/>
            </w:pPr>
          </w:p>
        </w:tc>
      </w:tr>
    </w:tbl>
    <w:p w14:paraId="4DF19DAC" w14:textId="77777777" w:rsidR="00AA2BBD" w:rsidRDefault="00AA2BBD" w:rsidP="006A5562">
      <w:pPr>
        <w:spacing w:before="120" w:after="120" w:line="240" w:lineRule="auto"/>
        <w:rPr>
          <w:rFonts w:ascii="Times New Roman" w:eastAsia="Times New Roman" w:hAnsi="Times New Roman" w:cs="Times New Roman"/>
          <w:sz w:val="20"/>
          <w:szCs w:val="20"/>
        </w:rPr>
      </w:pPr>
    </w:p>
    <w:p w14:paraId="5DE9886A" w14:textId="77777777" w:rsidR="00FE0387" w:rsidRDefault="00FE0387">
      <w:pPr>
        <w:rPr>
          <w:rFonts w:asciiTheme="majorHAnsi" w:eastAsia="Times New Roman" w:hAnsiTheme="majorHAnsi" w:cstheme="majorBidi"/>
          <w:color w:val="2F5496" w:themeColor="accent1" w:themeShade="BF"/>
          <w:sz w:val="26"/>
          <w:szCs w:val="26"/>
        </w:rPr>
      </w:pPr>
      <w:r>
        <w:rPr>
          <w:rFonts w:eastAsia="Times New Roman"/>
        </w:rPr>
        <w:br w:type="page"/>
      </w:r>
    </w:p>
    <w:p w14:paraId="208E7B74" w14:textId="3296CAA9" w:rsidR="003F36DD" w:rsidRDefault="003F36DD" w:rsidP="00C361A2">
      <w:pPr>
        <w:pStyle w:val="Heading2"/>
        <w:numPr>
          <w:ilvl w:val="1"/>
          <w:numId w:val="12"/>
        </w:numPr>
        <w:spacing w:before="120" w:after="120" w:line="240" w:lineRule="auto"/>
        <w:rPr>
          <w:rFonts w:eastAsia="Times New Roman"/>
        </w:rPr>
      </w:pPr>
      <w:bookmarkStart w:id="13" w:name="_Toc161415376"/>
      <w:r>
        <w:rPr>
          <w:rFonts w:eastAsia="Times New Roman"/>
        </w:rPr>
        <w:lastRenderedPageBreak/>
        <w:t>PHYS</w:t>
      </w:r>
      <w:bookmarkEnd w:id="13"/>
    </w:p>
    <w:p w14:paraId="41E5480C" w14:textId="07A4BA45" w:rsidR="00E5758D" w:rsidRPr="00E5758D" w:rsidRDefault="00E5758D" w:rsidP="00E5758D">
      <w:pPr>
        <w:rPr>
          <w:rFonts w:ascii="Times New Roman" w:hAnsi="Times New Roman" w:cs="Times New Roman"/>
          <w:sz w:val="20"/>
          <w:szCs w:val="20"/>
        </w:rPr>
      </w:pPr>
      <w:r w:rsidRPr="00E5758D">
        <w:rPr>
          <w:rFonts w:ascii="Times New Roman" w:hAnsi="Times New Roman" w:cs="Times New Roman"/>
          <w:sz w:val="20"/>
          <w:szCs w:val="20"/>
        </w:rPr>
        <w:t xml:space="preserve">Modifications are made only </w:t>
      </w:r>
      <w:r w:rsidRPr="00E5758D">
        <w:rPr>
          <w:rFonts w:ascii="Times New Roman" w:hAnsi="Times New Roman" w:cs="Times New Roman"/>
          <w:b/>
          <w:bCs/>
          <w:sz w:val="20"/>
          <w:szCs w:val="20"/>
        </w:rPr>
        <w:t>to the physical enclosure of the cryptographic module that provides its protection and involves no operational changes to the module</w:t>
      </w:r>
      <w:r w:rsidRPr="00E5758D">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4675"/>
        <w:gridCol w:w="4675"/>
      </w:tblGrid>
      <w:tr w:rsidR="003F36DD" w14:paraId="46DD83B5" w14:textId="77777777" w:rsidTr="004A3162">
        <w:tc>
          <w:tcPr>
            <w:tcW w:w="4675" w:type="dxa"/>
            <w:shd w:val="clear" w:color="auto" w:fill="E7E6E6" w:themeFill="background2"/>
          </w:tcPr>
          <w:p w14:paraId="1522E0DE" w14:textId="77777777" w:rsidR="003F36DD" w:rsidRPr="00E2218C" w:rsidRDefault="003F36DD" w:rsidP="006A5562">
            <w:pPr>
              <w:spacing w:before="120" w:after="120"/>
              <w:rPr>
                <w:b/>
                <w:bCs/>
              </w:rPr>
            </w:pPr>
            <w:r w:rsidRPr="00E2218C">
              <w:rPr>
                <w:b/>
                <w:bCs/>
              </w:rPr>
              <w:t>Requirement</w:t>
            </w:r>
          </w:p>
        </w:tc>
        <w:tc>
          <w:tcPr>
            <w:tcW w:w="4675" w:type="dxa"/>
            <w:shd w:val="clear" w:color="auto" w:fill="E7E6E6" w:themeFill="background2"/>
          </w:tcPr>
          <w:p w14:paraId="76196250" w14:textId="523CCA42" w:rsidR="003F36DD" w:rsidRPr="00E2218C" w:rsidRDefault="00E30624" w:rsidP="006A5562">
            <w:pPr>
              <w:spacing w:before="120" w:after="120"/>
              <w:rPr>
                <w:b/>
                <w:bCs/>
              </w:rPr>
            </w:pPr>
            <w:r>
              <w:rPr>
                <w:b/>
                <w:bCs/>
              </w:rPr>
              <w:t>CSTL Compliance evidence / justification</w:t>
            </w:r>
          </w:p>
        </w:tc>
      </w:tr>
      <w:tr w:rsidR="003F36DD" w14:paraId="33795ECA" w14:textId="77777777" w:rsidTr="004A3162">
        <w:tc>
          <w:tcPr>
            <w:tcW w:w="4675" w:type="dxa"/>
          </w:tcPr>
          <w:p w14:paraId="3B129F48" w14:textId="30DB63A6" w:rsidR="003F36DD" w:rsidRDefault="001D1949" w:rsidP="006A5562">
            <w:pPr>
              <w:spacing w:before="120" w:after="120"/>
            </w:pPr>
            <w:r w:rsidRPr="001D1949">
              <w:rPr>
                <w:color w:val="000000"/>
              </w:rPr>
              <w:t xml:space="preserve">The </w:t>
            </w:r>
            <w:r w:rsidR="00157472">
              <w:rPr>
                <w:color w:val="000000"/>
              </w:rPr>
              <w:t>CSTL</w:t>
            </w:r>
            <w:r w:rsidRPr="001D1949">
              <w:rPr>
                <w:color w:val="000000"/>
              </w:rPr>
              <w:t xml:space="preserve"> is responsible for ensuring that the change only affects the physical enclosure (integrity) and has no operational impact on the module.</w:t>
            </w:r>
          </w:p>
        </w:tc>
        <w:tc>
          <w:tcPr>
            <w:tcW w:w="4675" w:type="dxa"/>
          </w:tcPr>
          <w:p w14:paraId="54754F8B" w14:textId="77777777" w:rsidR="003F36DD" w:rsidRDefault="003F36DD" w:rsidP="006A5562">
            <w:pPr>
              <w:spacing w:before="120" w:after="120"/>
            </w:pPr>
          </w:p>
        </w:tc>
      </w:tr>
      <w:tr w:rsidR="003F36DD" w14:paraId="7D56AB62" w14:textId="77777777" w:rsidTr="004A3162">
        <w:tc>
          <w:tcPr>
            <w:tcW w:w="4675" w:type="dxa"/>
          </w:tcPr>
          <w:p w14:paraId="5236364F" w14:textId="4161B9A2" w:rsidR="003F36DD" w:rsidRDefault="00457768" w:rsidP="006A5562">
            <w:pPr>
              <w:spacing w:before="120" w:after="120"/>
            </w:pPr>
            <w:r w:rsidRPr="00432594">
              <w:t xml:space="preserve">The </w:t>
            </w:r>
            <w:r w:rsidR="00157472">
              <w:t>CSTL</w:t>
            </w:r>
            <w:r w:rsidRPr="00432594">
              <w:t xml:space="preserve"> </w:t>
            </w:r>
            <w:r w:rsidRPr="00432594">
              <w:rPr>
                <w:b/>
                <w:color w:val="FF0000"/>
              </w:rPr>
              <w:t>shall</w:t>
            </w:r>
            <w:r w:rsidRPr="00432594">
              <w:t xml:space="preserve"> fully test the physical security features of the new enclosure to ensure its compliance to the </w:t>
            </w:r>
            <w:r>
              <w:t>applicable</w:t>
            </w:r>
            <w:r w:rsidRPr="00432594">
              <w:t xml:space="preserve"> requirements of the standard.</w:t>
            </w:r>
          </w:p>
        </w:tc>
        <w:tc>
          <w:tcPr>
            <w:tcW w:w="4675" w:type="dxa"/>
          </w:tcPr>
          <w:p w14:paraId="04CE671E" w14:textId="77777777" w:rsidR="003F36DD" w:rsidRDefault="003F36DD" w:rsidP="006A5562">
            <w:pPr>
              <w:spacing w:before="120" w:after="120"/>
            </w:pPr>
          </w:p>
        </w:tc>
      </w:tr>
      <w:tr w:rsidR="00E067E7" w14:paraId="3FDB085B" w14:textId="77777777" w:rsidTr="004A3162">
        <w:tc>
          <w:tcPr>
            <w:tcW w:w="4675" w:type="dxa"/>
          </w:tcPr>
          <w:p w14:paraId="57471EB2" w14:textId="2A6FFF3A" w:rsidR="00E067E7" w:rsidRPr="00432594" w:rsidRDefault="00E067E7" w:rsidP="006A5562">
            <w:pPr>
              <w:spacing w:before="120" w:after="120"/>
            </w:pPr>
            <w:r w:rsidRPr="00BB7C14">
              <w:rPr>
                <w:rFonts w:eastAsia="Calibri"/>
                <w:color w:val="000000"/>
              </w:rPr>
              <w:t>Describe</w:t>
            </w:r>
            <w:r w:rsidRPr="00EF5EBF">
              <w:rPr>
                <w:rFonts w:eastAsia="Calibri"/>
                <w:color w:val="000000"/>
              </w:rPr>
              <w:t xml:space="preserve"> </w:t>
            </w:r>
            <w:r w:rsidRPr="00BB7C14">
              <w:rPr>
                <w:rFonts w:eastAsia="Calibri"/>
                <w:color w:val="000000"/>
              </w:rPr>
              <w:t xml:space="preserve">the change (pictures may be required) </w:t>
            </w:r>
          </w:p>
        </w:tc>
        <w:tc>
          <w:tcPr>
            <w:tcW w:w="4675" w:type="dxa"/>
          </w:tcPr>
          <w:p w14:paraId="5E716921" w14:textId="77777777" w:rsidR="00E067E7" w:rsidRDefault="00E067E7" w:rsidP="006A5562">
            <w:pPr>
              <w:spacing w:before="120" w:after="120"/>
            </w:pPr>
          </w:p>
        </w:tc>
      </w:tr>
      <w:tr w:rsidR="00E067E7" w14:paraId="54B598AF" w14:textId="77777777" w:rsidTr="004A3162">
        <w:tc>
          <w:tcPr>
            <w:tcW w:w="4675" w:type="dxa"/>
          </w:tcPr>
          <w:p w14:paraId="4FB8AA20" w14:textId="259F1C9A" w:rsidR="00E067E7" w:rsidRPr="00432594" w:rsidRDefault="00E067E7" w:rsidP="006A5562">
            <w:pPr>
              <w:spacing w:before="120" w:after="120"/>
            </w:pPr>
            <w:r w:rsidRPr="00BB7C14">
              <w:rPr>
                <w:color w:val="000000"/>
              </w:rPr>
              <w:t>State that it is a security relevant change</w:t>
            </w:r>
          </w:p>
        </w:tc>
        <w:tc>
          <w:tcPr>
            <w:tcW w:w="4675" w:type="dxa"/>
          </w:tcPr>
          <w:p w14:paraId="7A637612" w14:textId="77777777" w:rsidR="00E067E7" w:rsidRDefault="00E067E7" w:rsidP="006A5562">
            <w:pPr>
              <w:spacing w:before="120" w:after="120"/>
            </w:pPr>
          </w:p>
        </w:tc>
      </w:tr>
      <w:tr w:rsidR="00E067E7" w14:paraId="348F4C05" w14:textId="77777777" w:rsidTr="004A3162">
        <w:tc>
          <w:tcPr>
            <w:tcW w:w="4675" w:type="dxa"/>
          </w:tcPr>
          <w:p w14:paraId="0ABBC969" w14:textId="31021113" w:rsidR="00E067E7" w:rsidRPr="00432594" w:rsidRDefault="00E067E7" w:rsidP="006A5562">
            <w:pPr>
              <w:spacing w:before="120" w:after="120"/>
            </w:pPr>
            <w:r w:rsidRPr="00BB7C14">
              <w:rPr>
                <w:color w:val="000000"/>
              </w:rPr>
              <w:t>Provide sufficient information supporting that the physical only change has no operational impact</w:t>
            </w:r>
          </w:p>
        </w:tc>
        <w:tc>
          <w:tcPr>
            <w:tcW w:w="4675" w:type="dxa"/>
          </w:tcPr>
          <w:p w14:paraId="612A731F" w14:textId="77777777" w:rsidR="00E067E7" w:rsidRDefault="00E067E7" w:rsidP="006A5562">
            <w:pPr>
              <w:spacing w:before="120" w:after="120"/>
            </w:pPr>
          </w:p>
        </w:tc>
      </w:tr>
      <w:tr w:rsidR="00E067E7" w14:paraId="684CDA89" w14:textId="77777777" w:rsidTr="004A3162">
        <w:tc>
          <w:tcPr>
            <w:tcW w:w="4675" w:type="dxa"/>
          </w:tcPr>
          <w:p w14:paraId="75113111" w14:textId="4F4417BB" w:rsidR="00E067E7" w:rsidRPr="00432594" w:rsidRDefault="00E067E7" w:rsidP="006A5562">
            <w:pPr>
              <w:spacing w:before="120" w:after="120"/>
            </w:pPr>
            <w:r w:rsidRPr="00BB7C14">
              <w:rPr>
                <w:color w:val="000000"/>
              </w:rPr>
              <w:t xml:space="preserve">Describe the tests performed by the </w:t>
            </w:r>
            <w:r w:rsidR="00157472">
              <w:rPr>
                <w:color w:val="000000"/>
              </w:rPr>
              <w:t>CSTL</w:t>
            </w:r>
            <w:r w:rsidRPr="00BB7C14">
              <w:rPr>
                <w:color w:val="000000"/>
              </w:rPr>
              <w:t xml:space="preserve"> that confirm that the modified enclosure still provides the same physical protection attributes as the previously validated module. For physical security levels 2, 3 and 4, the </w:t>
            </w:r>
            <w:r w:rsidR="00157472">
              <w:rPr>
                <w:color w:val="000000"/>
              </w:rPr>
              <w:t>CSTL</w:t>
            </w:r>
            <w:r w:rsidRPr="00BB7C14">
              <w:rPr>
                <w:color w:val="000000"/>
              </w:rPr>
              <w:t xml:space="preserve"> </w:t>
            </w:r>
            <w:r w:rsidRPr="00BB7C14">
              <w:rPr>
                <w:b/>
                <w:color w:val="FF0000"/>
              </w:rPr>
              <w:t xml:space="preserve">shall </w:t>
            </w:r>
            <w:r w:rsidRPr="00BB7C14">
              <w:rPr>
                <w:color w:val="000000"/>
              </w:rPr>
              <w:t>submit an updated Physical Security Test Report.</w:t>
            </w:r>
          </w:p>
        </w:tc>
        <w:tc>
          <w:tcPr>
            <w:tcW w:w="4675" w:type="dxa"/>
          </w:tcPr>
          <w:p w14:paraId="2F94534F" w14:textId="77777777" w:rsidR="00E067E7" w:rsidRDefault="00E067E7" w:rsidP="006A5562">
            <w:pPr>
              <w:spacing w:before="120" w:after="120"/>
            </w:pPr>
          </w:p>
        </w:tc>
      </w:tr>
    </w:tbl>
    <w:p w14:paraId="781C5C5A" w14:textId="77777777" w:rsidR="00D664CF" w:rsidRPr="00A53980" w:rsidRDefault="00D664CF" w:rsidP="006A5562">
      <w:pPr>
        <w:spacing w:before="120" w:after="120" w:line="240" w:lineRule="auto"/>
        <w:rPr>
          <w:rFonts w:ascii="Times New Roman" w:eastAsia="Times New Roman" w:hAnsi="Times New Roman" w:cs="Times New Roman"/>
          <w:color w:val="000000"/>
          <w:sz w:val="20"/>
          <w:szCs w:val="20"/>
        </w:rPr>
      </w:pPr>
    </w:p>
    <w:p w14:paraId="57B1AAEF" w14:textId="77777777" w:rsidR="00FE0387" w:rsidRDefault="00FE0387">
      <w:pPr>
        <w:rPr>
          <w:rFonts w:ascii="Times New Roman" w:eastAsia="Times New Roman" w:hAnsi="Times New Roman" w:cs="Times New Roman"/>
          <w:color w:val="2F5496" w:themeColor="accent1" w:themeShade="BF"/>
          <w:sz w:val="32"/>
          <w:szCs w:val="32"/>
        </w:rPr>
      </w:pPr>
      <w:r>
        <w:rPr>
          <w:rFonts w:ascii="Times New Roman" w:eastAsia="Times New Roman" w:hAnsi="Times New Roman" w:cs="Times New Roman"/>
        </w:rPr>
        <w:br w:type="page"/>
      </w:r>
    </w:p>
    <w:p w14:paraId="3ECEA124" w14:textId="63232E3C" w:rsidR="00875A07" w:rsidRPr="003D3F09" w:rsidRDefault="00D31F4A" w:rsidP="00C361A2">
      <w:pPr>
        <w:pStyle w:val="Heading1"/>
        <w:numPr>
          <w:ilvl w:val="0"/>
          <w:numId w:val="12"/>
        </w:numPr>
        <w:spacing w:before="120" w:after="120" w:line="240" w:lineRule="auto"/>
        <w:rPr>
          <w:rFonts w:ascii="Times New Roman" w:eastAsia="Times New Roman" w:hAnsi="Times New Roman" w:cs="Times New Roman"/>
        </w:rPr>
      </w:pPr>
      <w:bookmarkStart w:id="14" w:name="_Toc161415377"/>
      <w:r>
        <w:rPr>
          <w:rFonts w:ascii="Times New Roman" w:eastAsia="Times New Roman" w:hAnsi="Times New Roman" w:cs="Times New Roman"/>
        </w:rPr>
        <w:lastRenderedPageBreak/>
        <w:t xml:space="preserve">Certificate </w:t>
      </w:r>
      <w:r w:rsidR="00875A07">
        <w:rPr>
          <w:rFonts w:ascii="Times New Roman" w:eastAsia="Times New Roman" w:hAnsi="Times New Roman" w:cs="Times New Roman"/>
        </w:rPr>
        <w:t>Modification Tables</w:t>
      </w:r>
      <w:bookmarkEnd w:id="14"/>
    </w:p>
    <w:p w14:paraId="0BF824A8" w14:textId="15874729" w:rsidR="002447E5" w:rsidRDefault="001733E1" w:rsidP="006A5562">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w:t>
      </w:r>
      <w:r w:rsidR="0030152E">
        <w:rPr>
          <w:rFonts w:ascii="Times New Roman" w:eastAsia="Times New Roman" w:hAnsi="Times New Roman" w:cs="Times New Roman"/>
          <w:sz w:val="20"/>
          <w:szCs w:val="20"/>
        </w:rPr>
        <w:t>all r</w:t>
      </w:r>
      <w:r w:rsidR="004379CE">
        <w:rPr>
          <w:rFonts w:ascii="Times New Roman" w:eastAsia="Times New Roman" w:hAnsi="Times New Roman" w:cs="Times New Roman"/>
          <w:sz w:val="20"/>
          <w:szCs w:val="20"/>
        </w:rPr>
        <w:t xml:space="preserve">evalidation </w:t>
      </w:r>
      <w:r w:rsidR="0030152E">
        <w:rPr>
          <w:rFonts w:ascii="Times New Roman" w:eastAsia="Times New Roman" w:hAnsi="Times New Roman" w:cs="Times New Roman"/>
          <w:sz w:val="20"/>
          <w:szCs w:val="20"/>
        </w:rPr>
        <w:t>s</w:t>
      </w:r>
      <w:r w:rsidR="004379CE">
        <w:rPr>
          <w:rFonts w:ascii="Times New Roman" w:eastAsia="Times New Roman" w:hAnsi="Times New Roman" w:cs="Times New Roman"/>
          <w:sz w:val="20"/>
          <w:szCs w:val="20"/>
        </w:rPr>
        <w:t>cenario</w:t>
      </w:r>
      <w:r>
        <w:rPr>
          <w:rFonts w:ascii="Times New Roman" w:eastAsia="Times New Roman" w:hAnsi="Times New Roman" w:cs="Times New Roman"/>
          <w:sz w:val="20"/>
          <w:szCs w:val="20"/>
        </w:rPr>
        <w:t xml:space="preserve">s the </w:t>
      </w:r>
      <w:r w:rsidR="00157472">
        <w:rPr>
          <w:rFonts w:ascii="Times New Roman" w:eastAsia="Times New Roman" w:hAnsi="Times New Roman" w:cs="Times New Roman"/>
          <w:sz w:val="20"/>
          <w:szCs w:val="20"/>
        </w:rPr>
        <w:t>CSTL</w:t>
      </w:r>
      <w:r w:rsidR="007F5ABE" w:rsidRPr="00A53980">
        <w:rPr>
          <w:rFonts w:ascii="Times New Roman" w:eastAsia="Times New Roman" w:hAnsi="Times New Roman" w:cs="Times New Roman"/>
          <w:sz w:val="20"/>
          <w:szCs w:val="20"/>
        </w:rPr>
        <w:t xml:space="preserve"> </w:t>
      </w:r>
      <w:r w:rsidR="007F5ABE" w:rsidRPr="00A53980">
        <w:rPr>
          <w:rFonts w:ascii="Times New Roman" w:eastAsia="Times New Roman" w:hAnsi="Times New Roman" w:cs="Times New Roman"/>
          <w:b/>
          <w:color w:val="FF0000"/>
          <w:sz w:val="20"/>
          <w:szCs w:val="20"/>
        </w:rPr>
        <w:t>shall</w:t>
      </w:r>
      <w:r w:rsidR="007F5ABE" w:rsidRPr="00A53980">
        <w:rPr>
          <w:rFonts w:ascii="Times New Roman" w:eastAsia="Times New Roman" w:hAnsi="Times New Roman" w:cs="Times New Roman"/>
          <w:color w:val="FF0000"/>
          <w:sz w:val="20"/>
          <w:szCs w:val="20"/>
        </w:rPr>
        <w:t xml:space="preserve"> </w:t>
      </w:r>
      <w:r w:rsidR="007F5ABE" w:rsidRPr="00A53980">
        <w:rPr>
          <w:rFonts w:ascii="Times New Roman" w:eastAsia="Times New Roman" w:hAnsi="Times New Roman" w:cs="Times New Roman"/>
          <w:sz w:val="20"/>
          <w:szCs w:val="20"/>
        </w:rPr>
        <w:t>use the following format</w:t>
      </w:r>
      <w:r w:rsidR="0095372D">
        <w:rPr>
          <w:rFonts w:ascii="Times New Roman" w:eastAsia="Times New Roman" w:hAnsi="Times New Roman" w:cs="Times New Roman"/>
          <w:sz w:val="20"/>
          <w:szCs w:val="20"/>
        </w:rPr>
        <w:t xml:space="preserve"> to cover all updated fields</w:t>
      </w:r>
      <w:r w:rsidR="000A390C">
        <w:rPr>
          <w:rFonts w:ascii="Times New Roman" w:eastAsia="Times New Roman" w:hAnsi="Times New Roman" w:cs="Times New Roman"/>
          <w:sz w:val="20"/>
          <w:szCs w:val="20"/>
        </w:rPr>
        <w:t xml:space="preserve"> (e.g., vendor, </w:t>
      </w:r>
      <w:r w:rsidR="00157472">
        <w:rPr>
          <w:rFonts w:ascii="Times New Roman" w:eastAsia="Times New Roman" w:hAnsi="Times New Roman" w:cs="Times New Roman"/>
          <w:sz w:val="20"/>
          <w:szCs w:val="20"/>
        </w:rPr>
        <w:t>CSTL</w:t>
      </w:r>
      <w:r w:rsidR="000A390C">
        <w:rPr>
          <w:rFonts w:ascii="Times New Roman" w:eastAsia="Times New Roman" w:hAnsi="Times New Roman" w:cs="Times New Roman"/>
          <w:sz w:val="20"/>
          <w:szCs w:val="20"/>
        </w:rPr>
        <w:t>, and module changes)</w:t>
      </w:r>
      <w:r w:rsidR="007F5ABE" w:rsidRPr="00A53980">
        <w:rPr>
          <w:rFonts w:ascii="Times New Roman" w:eastAsia="Times New Roman" w:hAnsi="Times New Roman" w:cs="Times New Roman"/>
          <w:sz w:val="20"/>
          <w:szCs w:val="20"/>
        </w:rPr>
        <w:t xml:space="preserve">. Deletions </w:t>
      </w:r>
      <w:r w:rsidR="007F5ABE" w:rsidRPr="00A53980">
        <w:rPr>
          <w:rFonts w:ascii="Times New Roman" w:eastAsia="Times New Roman" w:hAnsi="Times New Roman" w:cs="Times New Roman"/>
          <w:b/>
          <w:color w:val="FF0000"/>
          <w:sz w:val="20"/>
          <w:szCs w:val="20"/>
        </w:rPr>
        <w:t>shall</w:t>
      </w:r>
      <w:r w:rsidR="007F5ABE" w:rsidRPr="00A53980">
        <w:rPr>
          <w:rFonts w:ascii="Times New Roman" w:eastAsia="Times New Roman" w:hAnsi="Times New Roman" w:cs="Times New Roman"/>
          <w:color w:val="FF0000"/>
          <w:sz w:val="20"/>
          <w:szCs w:val="20"/>
        </w:rPr>
        <w:t xml:space="preserve"> </w:t>
      </w:r>
      <w:r w:rsidR="007F5ABE" w:rsidRPr="00A53980">
        <w:rPr>
          <w:rFonts w:ascii="Times New Roman" w:eastAsia="Times New Roman" w:hAnsi="Times New Roman" w:cs="Times New Roman"/>
          <w:sz w:val="20"/>
          <w:szCs w:val="20"/>
        </w:rPr>
        <w:t xml:space="preserve">be marked using strikethrough and additions </w:t>
      </w:r>
      <w:r w:rsidR="007F5ABE" w:rsidRPr="00A53980">
        <w:rPr>
          <w:rFonts w:ascii="Times New Roman" w:eastAsia="Times New Roman" w:hAnsi="Times New Roman" w:cs="Times New Roman"/>
          <w:b/>
          <w:color w:val="FF0000"/>
          <w:sz w:val="20"/>
          <w:szCs w:val="20"/>
        </w:rPr>
        <w:t>shall</w:t>
      </w:r>
      <w:r w:rsidR="007F5ABE" w:rsidRPr="00A53980">
        <w:rPr>
          <w:rFonts w:ascii="Times New Roman" w:eastAsia="Times New Roman" w:hAnsi="Times New Roman" w:cs="Times New Roman"/>
          <w:sz w:val="20"/>
          <w:szCs w:val="20"/>
        </w:rPr>
        <w:t xml:space="preserve"> be highlighted in yellow.</w:t>
      </w:r>
    </w:p>
    <w:p w14:paraId="010A92D9" w14:textId="68F3601C" w:rsidR="00E126E8" w:rsidRDefault="003D3F09" w:rsidP="006A5562">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E126E8">
        <w:rPr>
          <w:rFonts w:ascii="Times New Roman" w:eastAsia="Times New Roman" w:hAnsi="Times New Roman" w:cs="Times New Roman"/>
          <w:sz w:val="20"/>
          <w:szCs w:val="20"/>
        </w:rPr>
        <w:t>or example:</w:t>
      </w:r>
    </w:p>
    <w:tbl>
      <w:tblPr>
        <w:tblStyle w:val="TableGrid"/>
        <w:tblW w:w="0" w:type="auto"/>
        <w:tblInd w:w="360" w:type="dxa"/>
        <w:tblLook w:val="04A0" w:firstRow="1" w:lastRow="0" w:firstColumn="1" w:lastColumn="0" w:noHBand="0" w:noVBand="1"/>
      </w:tblPr>
      <w:tblGrid>
        <w:gridCol w:w="2155"/>
        <w:gridCol w:w="3060"/>
        <w:gridCol w:w="3775"/>
      </w:tblGrid>
      <w:tr w:rsidR="006D583F" w:rsidRPr="00A53980" w14:paraId="261535D1" w14:textId="77777777" w:rsidTr="006D583F">
        <w:tc>
          <w:tcPr>
            <w:tcW w:w="2155" w:type="dxa"/>
            <w:shd w:val="clear" w:color="auto" w:fill="D9D9D9"/>
          </w:tcPr>
          <w:p w14:paraId="13900982" w14:textId="37A75648" w:rsidR="006D583F" w:rsidRPr="00A53980" w:rsidRDefault="006D583F" w:rsidP="006A5562">
            <w:pPr>
              <w:spacing w:before="120" w:after="120"/>
              <w:rPr>
                <w:b/>
              </w:rPr>
            </w:pPr>
            <w:r>
              <w:rPr>
                <w:b/>
              </w:rPr>
              <w:t>Field(s)</w:t>
            </w:r>
          </w:p>
        </w:tc>
        <w:tc>
          <w:tcPr>
            <w:tcW w:w="3060" w:type="dxa"/>
            <w:shd w:val="clear" w:color="auto" w:fill="D9D9D9"/>
          </w:tcPr>
          <w:p w14:paraId="3A91EAF3" w14:textId="3FE993A4" w:rsidR="006D583F" w:rsidRPr="00A53980" w:rsidRDefault="006D583F" w:rsidP="006A5562">
            <w:pPr>
              <w:spacing w:before="120" w:after="120"/>
              <w:rPr>
                <w:b/>
              </w:rPr>
            </w:pPr>
            <w:r w:rsidRPr="00A53980">
              <w:rPr>
                <w:b/>
              </w:rPr>
              <w:t>Current Cert. #</w:t>
            </w:r>
            <w:r>
              <w:rPr>
                <w:b/>
              </w:rPr>
              <w:t>999</w:t>
            </w:r>
          </w:p>
        </w:tc>
        <w:tc>
          <w:tcPr>
            <w:tcW w:w="3775" w:type="dxa"/>
            <w:shd w:val="clear" w:color="auto" w:fill="D9D9D9"/>
          </w:tcPr>
          <w:p w14:paraId="17C97188" w14:textId="5D29E435" w:rsidR="006D583F" w:rsidRPr="00A53980" w:rsidRDefault="006D583F" w:rsidP="006A5562">
            <w:pPr>
              <w:spacing w:before="120" w:after="120"/>
              <w:rPr>
                <w:b/>
              </w:rPr>
            </w:pPr>
            <w:r w:rsidRPr="00A53980">
              <w:rPr>
                <w:b/>
              </w:rPr>
              <w:t xml:space="preserve">Change Requested Cert. </w:t>
            </w:r>
            <w:r w:rsidR="00B94A58">
              <w:rPr>
                <w:b/>
              </w:rPr>
              <w:t>[</w:t>
            </w:r>
            <w:r w:rsidRPr="00A53980">
              <w:rPr>
                <w:b/>
              </w:rPr>
              <w:t>#</w:t>
            </w:r>
            <w:r>
              <w:rPr>
                <w:b/>
              </w:rPr>
              <w:t>999</w:t>
            </w:r>
            <w:r w:rsidR="00B94A58">
              <w:rPr>
                <w:b/>
              </w:rPr>
              <w:t xml:space="preserve"> or new Cert]</w:t>
            </w:r>
          </w:p>
        </w:tc>
      </w:tr>
      <w:tr w:rsidR="006D583F" w:rsidRPr="00A53980" w14:paraId="09A0CAF4" w14:textId="77777777" w:rsidTr="006D583F">
        <w:tc>
          <w:tcPr>
            <w:tcW w:w="2155" w:type="dxa"/>
            <w:shd w:val="clear" w:color="auto" w:fill="FFFFFF"/>
          </w:tcPr>
          <w:p w14:paraId="16BE4A60" w14:textId="403A7880" w:rsidR="006D583F" w:rsidRPr="00A53980" w:rsidRDefault="006D583F" w:rsidP="006A5562">
            <w:pPr>
              <w:spacing w:before="120" w:after="120"/>
            </w:pPr>
            <w:r w:rsidRPr="00A53980">
              <w:t>Hardware Version</w:t>
            </w:r>
          </w:p>
        </w:tc>
        <w:tc>
          <w:tcPr>
            <w:tcW w:w="3060" w:type="dxa"/>
            <w:shd w:val="clear" w:color="auto" w:fill="FFFFFF"/>
          </w:tcPr>
          <w:p w14:paraId="5E6814BF" w14:textId="173A89FE" w:rsidR="006D583F" w:rsidRPr="00A53980" w:rsidRDefault="006D583F" w:rsidP="006A5562">
            <w:pPr>
              <w:spacing w:before="120" w:after="120"/>
            </w:pPr>
            <w:r w:rsidRPr="00A53980">
              <w:t>3.1</w:t>
            </w:r>
          </w:p>
        </w:tc>
        <w:tc>
          <w:tcPr>
            <w:tcW w:w="3775" w:type="dxa"/>
            <w:shd w:val="clear" w:color="auto" w:fill="FFFFFF"/>
          </w:tcPr>
          <w:p w14:paraId="1D38083D" w14:textId="2CB051D2" w:rsidR="006D583F" w:rsidRPr="00A53980" w:rsidRDefault="006D583F" w:rsidP="006A5562">
            <w:pPr>
              <w:spacing w:before="120" w:after="120"/>
            </w:pPr>
            <w:r w:rsidRPr="00A53980">
              <w:t>3.1</w:t>
            </w:r>
            <w:r w:rsidRPr="00A53980">
              <w:rPr>
                <w:highlight w:val="yellow"/>
              </w:rPr>
              <w:t>, 3.2</w:t>
            </w:r>
          </w:p>
        </w:tc>
      </w:tr>
      <w:tr w:rsidR="006D583F" w:rsidRPr="00A53980" w14:paraId="61C662DC" w14:textId="77777777" w:rsidTr="006D583F">
        <w:tc>
          <w:tcPr>
            <w:tcW w:w="2155" w:type="dxa"/>
            <w:shd w:val="clear" w:color="auto" w:fill="FFFFFF"/>
          </w:tcPr>
          <w:p w14:paraId="0E45DBC3" w14:textId="1C9D8807" w:rsidR="006D583F" w:rsidRPr="00A53980" w:rsidRDefault="006D583F" w:rsidP="006A5562">
            <w:pPr>
              <w:spacing w:before="120" w:after="120"/>
            </w:pPr>
            <w:r w:rsidRPr="00A53980">
              <w:t>Firmware Version</w:t>
            </w:r>
          </w:p>
        </w:tc>
        <w:tc>
          <w:tcPr>
            <w:tcW w:w="3060" w:type="dxa"/>
            <w:shd w:val="clear" w:color="auto" w:fill="FFFFFF"/>
          </w:tcPr>
          <w:p w14:paraId="5C39ACCB" w14:textId="65D84082" w:rsidR="006D583F" w:rsidRPr="00A53980" w:rsidRDefault="006D583F" w:rsidP="006A5562">
            <w:pPr>
              <w:spacing w:before="120" w:after="120"/>
            </w:pPr>
            <w:r w:rsidRPr="00976C06">
              <w:rPr>
                <w:strike/>
              </w:rPr>
              <w:t>a.1, b.1</w:t>
            </w:r>
          </w:p>
        </w:tc>
        <w:tc>
          <w:tcPr>
            <w:tcW w:w="3775" w:type="dxa"/>
            <w:shd w:val="clear" w:color="auto" w:fill="FFFFFF"/>
          </w:tcPr>
          <w:p w14:paraId="290C8E93" w14:textId="62A9C932" w:rsidR="006D583F" w:rsidRPr="00A53980" w:rsidRDefault="006D583F" w:rsidP="006A5562">
            <w:pPr>
              <w:spacing w:before="120" w:after="120"/>
            </w:pPr>
            <w:r w:rsidRPr="00976C06">
              <w:rPr>
                <w:highlight w:val="yellow"/>
              </w:rPr>
              <w:t>c.1</w:t>
            </w:r>
          </w:p>
        </w:tc>
      </w:tr>
      <w:tr w:rsidR="006D583F" w:rsidRPr="00A53980" w14:paraId="7F26CAEC" w14:textId="77777777" w:rsidTr="006D583F">
        <w:tc>
          <w:tcPr>
            <w:tcW w:w="2155" w:type="dxa"/>
            <w:shd w:val="clear" w:color="auto" w:fill="FFFFFF"/>
          </w:tcPr>
          <w:p w14:paraId="7B3AC8A8" w14:textId="6F22FF8E" w:rsidR="006D583F" w:rsidRPr="00A53980" w:rsidRDefault="006D583F" w:rsidP="006A5562">
            <w:pPr>
              <w:spacing w:before="120" w:after="120"/>
            </w:pPr>
            <w:r w:rsidRPr="00A53980">
              <w:t>Product Link</w:t>
            </w:r>
          </w:p>
        </w:tc>
        <w:tc>
          <w:tcPr>
            <w:tcW w:w="3060" w:type="dxa"/>
            <w:shd w:val="clear" w:color="auto" w:fill="FFFFFF"/>
          </w:tcPr>
          <w:p w14:paraId="1F6BFC74" w14:textId="79C2894C" w:rsidR="006D583F" w:rsidRPr="00A53980" w:rsidRDefault="00000000" w:rsidP="006A5562">
            <w:pPr>
              <w:spacing w:before="120" w:after="120"/>
            </w:pPr>
            <w:hyperlink r:id="rId22" w:history="1">
              <w:r w:rsidR="006D583F" w:rsidRPr="00A53980">
                <w:rPr>
                  <w:color w:val="0000FF"/>
                  <w:u w:val="single"/>
                </w:rPr>
                <w:t>www.product</w:t>
              </w:r>
              <w:r w:rsidR="006D583F" w:rsidRPr="00574982">
                <w:rPr>
                  <w:strike/>
                  <w:color w:val="0000FF"/>
                  <w:u w:val="single"/>
                </w:rPr>
                <w:t>A</w:t>
              </w:r>
              <w:r w:rsidR="006D583F" w:rsidRPr="00A53980">
                <w:rPr>
                  <w:color w:val="0000FF"/>
                  <w:u w:val="single"/>
                </w:rPr>
                <w:t>.com</w:t>
              </w:r>
            </w:hyperlink>
          </w:p>
        </w:tc>
        <w:tc>
          <w:tcPr>
            <w:tcW w:w="3775" w:type="dxa"/>
            <w:shd w:val="clear" w:color="auto" w:fill="FFFFFF"/>
          </w:tcPr>
          <w:p w14:paraId="1930C5F3" w14:textId="1358EAE4" w:rsidR="006D583F" w:rsidRPr="00A53980" w:rsidRDefault="00000000" w:rsidP="006A5562">
            <w:pPr>
              <w:spacing w:before="120" w:after="120"/>
            </w:pPr>
            <w:hyperlink r:id="rId23" w:history="1">
              <w:r w:rsidR="006D583F" w:rsidRPr="00A53980">
                <w:rPr>
                  <w:color w:val="0000FF"/>
                  <w:u w:val="single"/>
                </w:rPr>
                <w:t>www.product</w:t>
              </w:r>
              <w:r w:rsidR="006D583F" w:rsidRPr="00574982">
                <w:rPr>
                  <w:color w:val="0000FF"/>
                  <w:highlight w:val="yellow"/>
                  <w:u w:val="single"/>
                </w:rPr>
                <w:t>B</w:t>
              </w:r>
              <w:r w:rsidR="006D583F" w:rsidRPr="00A53980">
                <w:rPr>
                  <w:color w:val="0000FF"/>
                  <w:u w:val="single"/>
                </w:rPr>
                <w:t>.com</w:t>
              </w:r>
            </w:hyperlink>
          </w:p>
        </w:tc>
      </w:tr>
      <w:tr w:rsidR="006D583F" w:rsidRPr="00A53980" w14:paraId="2564A067" w14:textId="77777777" w:rsidTr="006D583F">
        <w:tc>
          <w:tcPr>
            <w:tcW w:w="2155" w:type="dxa"/>
            <w:shd w:val="clear" w:color="auto" w:fill="FFFFFF"/>
          </w:tcPr>
          <w:p w14:paraId="7896AE5B" w14:textId="0C0B47AC" w:rsidR="006D583F" w:rsidRPr="00A53980" w:rsidRDefault="006D583F" w:rsidP="006A5562">
            <w:pPr>
              <w:spacing w:before="120" w:after="120"/>
            </w:pPr>
            <w:r w:rsidRPr="00A53980">
              <w:t>Vendor Name</w:t>
            </w:r>
          </w:p>
        </w:tc>
        <w:tc>
          <w:tcPr>
            <w:tcW w:w="3060" w:type="dxa"/>
            <w:shd w:val="clear" w:color="auto" w:fill="FFFFFF"/>
          </w:tcPr>
          <w:p w14:paraId="1C0D1154" w14:textId="27C94915" w:rsidR="006D583F" w:rsidRPr="00A53980" w:rsidRDefault="006D583F" w:rsidP="006A5562">
            <w:pPr>
              <w:spacing w:before="120" w:after="120"/>
            </w:pPr>
            <w:r w:rsidRPr="00A53980">
              <w:t xml:space="preserve">Vendor </w:t>
            </w:r>
            <w:r w:rsidRPr="00574982">
              <w:rPr>
                <w:strike/>
              </w:rPr>
              <w:t>ABC</w:t>
            </w:r>
          </w:p>
        </w:tc>
        <w:tc>
          <w:tcPr>
            <w:tcW w:w="3775" w:type="dxa"/>
            <w:shd w:val="clear" w:color="auto" w:fill="FFFFFF"/>
          </w:tcPr>
          <w:p w14:paraId="47ABD058" w14:textId="5F7F401D" w:rsidR="006D583F" w:rsidRPr="00A53980" w:rsidRDefault="006D583F" w:rsidP="006A5562">
            <w:pPr>
              <w:spacing w:before="120" w:after="120"/>
            </w:pPr>
            <w:r w:rsidRPr="00A53980">
              <w:t xml:space="preserve">Vendor </w:t>
            </w:r>
            <w:r w:rsidRPr="00574982">
              <w:rPr>
                <w:highlight w:val="yellow"/>
              </w:rPr>
              <w:t>DEF</w:t>
            </w:r>
          </w:p>
        </w:tc>
      </w:tr>
    </w:tbl>
    <w:p w14:paraId="3F43F4B7" w14:textId="77777777" w:rsidR="000D3ABD" w:rsidRPr="00A53980" w:rsidRDefault="000D3ABD" w:rsidP="006A5562">
      <w:pPr>
        <w:spacing w:before="120" w:after="120" w:line="240" w:lineRule="auto"/>
        <w:rPr>
          <w:rFonts w:ascii="Times New Roman" w:eastAsia="Times New Roman" w:hAnsi="Times New Roman" w:cs="Times New Roman"/>
          <w:color w:val="000000"/>
          <w:sz w:val="20"/>
          <w:szCs w:val="20"/>
        </w:rPr>
      </w:pPr>
    </w:p>
    <w:p w14:paraId="0EF6D41B" w14:textId="77777777" w:rsidR="00FE0387" w:rsidRDefault="00FE0387">
      <w:pPr>
        <w:rPr>
          <w:rFonts w:ascii="Times New Roman" w:eastAsia="Times New Roman" w:hAnsi="Times New Roman" w:cs="Times New Roman"/>
          <w:color w:val="2F5496" w:themeColor="accent1" w:themeShade="BF"/>
          <w:sz w:val="32"/>
          <w:szCs w:val="32"/>
        </w:rPr>
      </w:pPr>
      <w:r>
        <w:rPr>
          <w:rFonts w:ascii="Times New Roman" w:eastAsia="Times New Roman" w:hAnsi="Times New Roman" w:cs="Times New Roman"/>
        </w:rPr>
        <w:br w:type="page"/>
      </w:r>
    </w:p>
    <w:p w14:paraId="7B773F73" w14:textId="55F76552" w:rsidR="00D31F4A" w:rsidRPr="003D3F09" w:rsidRDefault="003B04CA" w:rsidP="00C361A2">
      <w:pPr>
        <w:pStyle w:val="Heading1"/>
        <w:numPr>
          <w:ilvl w:val="0"/>
          <w:numId w:val="12"/>
        </w:numPr>
        <w:spacing w:before="120" w:after="120" w:line="240" w:lineRule="auto"/>
        <w:rPr>
          <w:rFonts w:ascii="Times New Roman" w:eastAsia="Times New Roman" w:hAnsi="Times New Roman" w:cs="Times New Roman"/>
        </w:rPr>
      </w:pPr>
      <w:bookmarkStart w:id="15" w:name="_Toc161415378"/>
      <w:r>
        <w:rPr>
          <w:rFonts w:ascii="Times New Roman" w:eastAsia="Times New Roman" w:hAnsi="Times New Roman" w:cs="Times New Roman"/>
        </w:rPr>
        <w:lastRenderedPageBreak/>
        <w:t>Affected TEs</w:t>
      </w:r>
      <w:r w:rsidR="00690325">
        <w:rPr>
          <w:rFonts w:ascii="Times New Roman" w:eastAsia="Times New Roman" w:hAnsi="Times New Roman" w:cs="Times New Roman"/>
        </w:rPr>
        <w:t xml:space="preserve"> and Security Policy Changes</w:t>
      </w:r>
      <w:bookmarkEnd w:id="15"/>
    </w:p>
    <w:p w14:paraId="0DD8C079" w14:textId="77777777" w:rsidR="00580E8A" w:rsidRDefault="00580E8A" w:rsidP="006A5562">
      <w:pPr>
        <w:spacing w:before="120" w:after="120" w:line="240" w:lineRule="auto"/>
        <w:rPr>
          <w:rFonts w:ascii="Times New Roman" w:eastAsia="Times New Roman" w:hAnsi="Times New Roman" w:cs="Times New Roman"/>
          <w:sz w:val="20"/>
          <w:szCs w:val="20"/>
        </w:rPr>
      </w:pPr>
    </w:p>
    <w:p w14:paraId="6D6C70FE" w14:textId="607302C2" w:rsidR="00D31F4A" w:rsidRDefault="00FD3A7C" w:rsidP="006A5562">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A53980">
        <w:rPr>
          <w:rFonts w:ascii="Times New Roman" w:eastAsia="Times New Roman" w:hAnsi="Times New Roman" w:cs="Times New Roman"/>
          <w:sz w:val="20"/>
          <w:szCs w:val="20"/>
        </w:rPr>
        <w:t xml:space="preserve">he </w:t>
      </w:r>
      <w:r w:rsidR="00157472">
        <w:rPr>
          <w:rFonts w:ascii="Times New Roman" w:eastAsia="Times New Roman" w:hAnsi="Times New Roman" w:cs="Times New Roman"/>
          <w:sz w:val="20"/>
          <w:szCs w:val="20"/>
        </w:rPr>
        <w:t>CSTL</w:t>
      </w:r>
      <w:r w:rsidRPr="00A53980">
        <w:rPr>
          <w:rFonts w:ascii="Times New Roman" w:eastAsia="Times New Roman" w:hAnsi="Times New Roman" w:cs="Times New Roman"/>
          <w:sz w:val="20"/>
          <w:szCs w:val="20"/>
        </w:rPr>
        <w:t xml:space="preserve"> </w:t>
      </w:r>
      <w:r w:rsidRPr="00A53980">
        <w:rPr>
          <w:rFonts w:ascii="Times New Roman" w:eastAsia="Times New Roman" w:hAnsi="Times New Roman" w:cs="Times New Roman"/>
          <w:b/>
          <w:color w:val="FF0000"/>
          <w:sz w:val="20"/>
          <w:szCs w:val="20"/>
        </w:rPr>
        <w:t>shall</w:t>
      </w:r>
      <w:r w:rsidRPr="00A53980">
        <w:rPr>
          <w:rFonts w:ascii="Times New Roman" w:eastAsia="Times New Roman" w:hAnsi="Times New Roman" w:cs="Times New Roman"/>
          <w:sz w:val="20"/>
          <w:szCs w:val="20"/>
        </w:rPr>
        <w:t xml:space="preserve"> list</w:t>
      </w:r>
      <w:r>
        <w:rPr>
          <w:rFonts w:ascii="Times New Roman" w:eastAsia="Times New Roman" w:hAnsi="Times New Roman" w:cs="Times New Roman"/>
          <w:sz w:val="20"/>
          <w:szCs w:val="20"/>
        </w:rPr>
        <w:t xml:space="preserve"> </w:t>
      </w:r>
      <w:r w:rsidRPr="00A53980">
        <w:rPr>
          <w:rFonts w:ascii="Times New Roman" w:eastAsia="Times New Roman" w:hAnsi="Times New Roman" w:cs="Times New Roman"/>
          <w:sz w:val="20"/>
          <w:szCs w:val="20"/>
        </w:rPr>
        <w:t xml:space="preserve">the affected </w:t>
      </w:r>
      <w:r w:rsidR="00B90240" w:rsidRPr="00A53980">
        <w:rPr>
          <w:rFonts w:ascii="Times New Roman" w:eastAsia="Times New Roman" w:hAnsi="Times New Roman" w:cs="Times New Roman"/>
          <w:sz w:val="20"/>
          <w:szCs w:val="20"/>
        </w:rPr>
        <w:t>TEs,</w:t>
      </w:r>
      <w:r w:rsidRPr="00A53980">
        <w:rPr>
          <w:rFonts w:ascii="Times New Roman" w:eastAsia="Times New Roman" w:hAnsi="Times New Roman" w:cs="Times New Roman"/>
          <w:sz w:val="20"/>
          <w:szCs w:val="20"/>
        </w:rPr>
        <w:t xml:space="preserve"> and </w:t>
      </w:r>
      <w:r w:rsidR="001A006C" w:rsidRPr="001A006C">
        <w:rPr>
          <w:rFonts w:ascii="Times New Roman" w:eastAsia="Times New Roman" w:hAnsi="Times New Roman" w:cs="Times New Roman"/>
          <w:sz w:val="20"/>
          <w:szCs w:val="20"/>
        </w:rPr>
        <w:t>a summary of the change</w:t>
      </w:r>
      <w:r w:rsidR="00E309DB">
        <w:rPr>
          <w:rFonts w:ascii="Times New Roman" w:eastAsia="Times New Roman" w:hAnsi="Times New Roman" w:cs="Times New Roman"/>
          <w:sz w:val="20"/>
          <w:szCs w:val="20"/>
        </w:rPr>
        <w:t>s</w:t>
      </w:r>
      <w:r w:rsidR="001A006C" w:rsidRPr="001A006C">
        <w:rPr>
          <w:rFonts w:ascii="Times New Roman" w:eastAsia="Times New Roman" w:hAnsi="Times New Roman" w:cs="Times New Roman"/>
          <w:sz w:val="20"/>
          <w:szCs w:val="20"/>
        </w:rPr>
        <w:t xml:space="preserve"> performed in their associated CSTL assessmen</w:t>
      </w:r>
      <w:r w:rsidR="00976143">
        <w:rPr>
          <w:rFonts w:ascii="Times New Roman" w:eastAsia="Times New Roman" w:hAnsi="Times New Roman" w:cs="Times New Roman"/>
          <w:sz w:val="20"/>
          <w:szCs w:val="20"/>
        </w:rPr>
        <w:t>t.</w:t>
      </w:r>
    </w:p>
    <w:p w14:paraId="5FE99DCF" w14:textId="48602840" w:rsidR="00721D1A" w:rsidRPr="009D7360" w:rsidRDefault="00CB2F15" w:rsidP="006A5562">
      <w:pPr>
        <w:spacing w:before="120" w:after="120" w:line="240" w:lineRule="auto"/>
        <w:rPr>
          <w:rFonts w:ascii="Times New Roman" w:eastAsia="Times New Roman" w:hAnsi="Times New Roman" w:cs="Times New Roman"/>
          <w:sz w:val="20"/>
          <w:szCs w:val="20"/>
        </w:rPr>
      </w:pPr>
      <w:r w:rsidRPr="003E75B0">
        <w:rPr>
          <w:rFonts w:ascii="Times New Roman" w:eastAsia="Times New Roman" w:hAnsi="Times New Roman" w:cs="Times New Roman"/>
          <w:sz w:val="20"/>
          <w:szCs w:val="20"/>
        </w:rPr>
        <w:t>For example:</w:t>
      </w:r>
    </w:p>
    <w:tbl>
      <w:tblPr>
        <w:tblStyle w:val="TableGrid"/>
        <w:tblW w:w="8995" w:type="dxa"/>
        <w:tblInd w:w="360" w:type="dxa"/>
        <w:tblLook w:val="04A0" w:firstRow="1" w:lastRow="0" w:firstColumn="1" w:lastColumn="0" w:noHBand="0" w:noVBand="1"/>
      </w:tblPr>
      <w:tblGrid>
        <w:gridCol w:w="1991"/>
        <w:gridCol w:w="7004"/>
      </w:tblGrid>
      <w:tr w:rsidR="00194325" w:rsidRPr="00A53980" w14:paraId="38C2EA3F" w14:textId="661AB0FF" w:rsidTr="00194325">
        <w:tc>
          <w:tcPr>
            <w:tcW w:w="1991" w:type="dxa"/>
            <w:shd w:val="clear" w:color="auto" w:fill="D9D9D9"/>
          </w:tcPr>
          <w:p w14:paraId="1D8EBE18" w14:textId="025016E2" w:rsidR="00194325" w:rsidRPr="00A53980" w:rsidRDefault="00FD4121" w:rsidP="006A5562">
            <w:pPr>
              <w:spacing w:before="120" w:after="120"/>
              <w:rPr>
                <w:b/>
              </w:rPr>
            </w:pPr>
            <w:r>
              <w:rPr>
                <w:b/>
              </w:rPr>
              <w:t xml:space="preserve">TR/SP </w:t>
            </w:r>
            <w:r w:rsidR="00194325">
              <w:rPr>
                <w:b/>
              </w:rPr>
              <w:t>Section</w:t>
            </w:r>
          </w:p>
        </w:tc>
        <w:tc>
          <w:tcPr>
            <w:tcW w:w="7004" w:type="dxa"/>
            <w:shd w:val="clear" w:color="auto" w:fill="D9D9D9"/>
          </w:tcPr>
          <w:p w14:paraId="081F6DC6" w14:textId="30C31238" w:rsidR="00194325" w:rsidRPr="00A53980" w:rsidRDefault="00194325" w:rsidP="006A5562">
            <w:pPr>
              <w:spacing w:before="120" w:after="120"/>
              <w:rPr>
                <w:b/>
              </w:rPr>
            </w:pPr>
            <w:r>
              <w:rPr>
                <w:b/>
              </w:rPr>
              <w:t>Affected TE</w:t>
            </w:r>
            <w:r w:rsidR="00FD4121">
              <w:rPr>
                <w:b/>
              </w:rPr>
              <w:t xml:space="preserve">/SP </w:t>
            </w:r>
            <w:r>
              <w:rPr>
                <w:b/>
              </w:rPr>
              <w:t xml:space="preserve">and </w:t>
            </w:r>
            <w:r w:rsidRPr="00A53980">
              <w:rPr>
                <w:b/>
              </w:rPr>
              <w:t>Assessment</w:t>
            </w:r>
          </w:p>
        </w:tc>
      </w:tr>
      <w:tr w:rsidR="00194325" w:rsidRPr="00A53980" w14:paraId="726E1F4E" w14:textId="16BF53BD" w:rsidTr="00194325">
        <w:tc>
          <w:tcPr>
            <w:tcW w:w="1991" w:type="dxa"/>
            <w:shd w:val="clear" w:color="auto" w:fill="FFFFFF"/>
          </w:tcPr>
          <w:p w14:paraId="28A137E6" w14:textId="77777777" w:rsidR="00194325" w:rsidRPr="00A53980" w:rsidRDefault="00194325" w:rsidP="006A5562">
            <w:pPr>
              <w:numPr>
                <w:ilvl w:val="0"/>
                <w:numId w:val="1"/>
              </w:numPr>
              <w:spacing w:before="120" w:after="120"/>
              <w:ind w:left="576"/>
            </w:pPr>
            <w:r w:rsidRPr="00A53980">
              <w:t>General</w:t>
            </w:r>
          </w:p>
        </w:tc>
        <w:tc>
          <w:tcPr>
            <w:tcW w:w="7004" w:type="dxa"/>
            <w:shd w:val="clear" w:color="auto" w:fill="FFFFFF"/>
          </w:tcPr>
          <w:p w14:paraId="01986D3D" w14:textId="24C0672B" w:rsidR="00194325" w:rsidRDefault="00194325" w:rsidP="006A5562">
            <w:pPr>
              <w:spacing w:before="120" w:after="120"/>
            </w:pPr>
            <w:r w:rsidRPr="00A53980">
              <w:t xml:space="preserve">The module’s name has been changed from </w:t>
            </w:r>
            <w:proofErr w:type="spellStart"/>
            <w:r w:rsidRPr="00A53980">
              <w:t>ModuleA</w:t>
            </w:r>
            <w:proofErr w:type="spellEnd"/>
            <w:r w:rsidRPr="00A53980">
              <w:t xml:space="preserve"> to </w:t>
            </w:r>
            <w:proofErr w:type="spellStart"/>
            <w:r w:rsidRPr="00A53980">
              <w:t>ModuleB</w:t>
            </w:r>
            <w:proofErr w:type="spellEnd"/>
          </w:p>
          <w:p w14:paraId="599DFD80" w14:textId="77777777" w:rsidR="00194325" w:rsidRDefault="00194325" w:rsidP="006A5562">
            <w:pPr>
              <w:spacing w:before="120" w:after="120"/>
            </w:pPr>
            <w:r w:rsidRPr="00C4353A">
              <w:t xml:space="preserve">Updated to reflect the updated firmware version, </w:t>
            </w:r>
            <w:r>
              <w:t>c.</w:t>
            </w:r>
            <w:r w:rsidRPr="00C4353A">
              <w:t>1</w:t>
            </w:r>
            <w:r>
              <w:t>.</w:t>
            </w:r>
          </w:p>
          <w:p w14:paraId="4BEA3132" w14:textId="4487A5FC" w:rsidR="00A15B63" w:rsidRPr="00A53980" w:rsidRDefault="00A15B63" w:rsidP="006A5562">
            <w:pPr>
              <w:spacing w:before="120" w:after="120"/>
            </w:pPr>
            <w:r>
              <w:t>SP Cover Page: Updated to include new name and new firmware version.</w:t>
            </w:r>
          </w:p>
        </w:tc>
      </w:tr>
      <w:tr w:rsidR="00194325" w:rsidRPr="00A53980" w14:paraId="7588A3E0" w14:textId="668F3AF6" w:rsidTr="00194325">
        <w:tc>
          <w:tcPr>
            <w:tcW w:w="1991" w:type="dxa"/>
            <w:shd w:val="clear" w:color="auto" w:fill="FFFFFF"/>
            <w:tcMar>
              <w:left w:w="72" w:type="dxa"/>
              <w:right w:w="72" w:type="dxa"/>
            </w:tcMar>
          </w:tcPr>
          <w:p w14:paraId="05B3F2DE" w14:textId="393B9227" w:rsidR="00194325" w:rsidRPr="00A53980" w:rsidRDefault="00194325" w:rsidP="006A5562">
            <w:pPr>
              <w:numPr>
                <w:ilvl w:val="0"/>
                <w:numId w:val="1"/>
              </w:numPr>
              <w:spacing w:before="120" w:after="120"/>
              <w:ind w:left="576"/>
              <w:rPr>
                <w:rFonts w:eastAsia="Calibri"/>
              </w:rPr>
            </w:pPr>
            <w:r>
              <w:t>Cryptographic module specification</w:t>
            </w:r>
          </w:p>
        </w:tc>
        <w:tc>
          <w:tcPr>
            <w:tcW w:w="7004" w:type="dxa"/>
            <w:shd w:val="clear" w:color="auto" w:fill="FFFFFF"/>
            <w:tcMar>
              <w:left w:w="115" w:type="dxa"/>
              <w:right w:w="115" w:type="dxa"/>
            </w:tcMar>
          </w:tcPr>
          <w:p w14:paraId="1146B9AE" w14:textId="77777777" w:rsidR="00194325" w:rsidRDefault="00194325" w:rsidP="006A5562">
            <w:pPr>
              <w:autoSpaceDE w:val="0"/>
              <w:autoSpaceDN w:val="0"/>
              <w:adjustRightInd w:val="0"/>
              <w:spacing w:before="120" w:after="120"/>
            </w:pPr>
            <w:r w:rsidRPr="00DB2B53">
              <w:t>02.11.01</w:t>
            </w:r>
            <w:r>
              <w:t xml:space="preserve">, </w:t>
            </w:r>
            <w:r w:rsidRPr="00DB2B53">
              <w:t>02.11.02</w:t>
            </w:r>
            <w:r>
              <w:t>: Updated and retested for new module name.</w:t>
            </w:r>
          </w:p>
          <w:p w14:paraId="7595F195" w14:textId="30440459" w:rsidR="00194325" w:rsidRDefault="00194325" w:rsidP="006A5562">
            <w:pPr>
              <w:autoSpaceDE w:val="0"/>
              <w:autoSpaceDN w:val="0"/>
              <w:adjustRightInd w:val="0"/>
              <w:spacing w:before="120" w:after="120"/>
            </w:pPr>
            <w:r w:rsidRPr="00995DF7">
              <w:t>02.12.01</w:t>
            </w:r>
            <w:r>
              <w:t>: Updated and retested for new</w:t>
            </w:r>
            <w:r w:rsidR="00A15B63">
              <w:t xml:space="preserve"> firmware</w:t>
            </w:r>
            <w:r>
              <w:t xml:space="preserve"> version.</w:t>
            </w:r>
          </w:p>
          <w:p w14:paraId="0B7729BB" w14:textId="3ACAB4BD" w:rsidR="0048243D" w:rsidRPr="00995DF7" w:rsidRDefault="0048243D" w:rsidP="006A5562">
            <w:pPr>
              <w:autoSpaceDE w:val="0"/>
              <w:autoSpaceDN w:val="0"/>
              <w:adjustRightInd w:val="0"/>
              <w:spacing w:before="120" w:after="120"/>
            </w:pPr>
            <w:r>
              <w:t>SP</w:t>
            </w:r>
            <w:r w:rsidR="00A15B63">
              <w:t xml:space="preserve"> Section 2</w:t>
            </w:r>
            <w:r>
              <w:t xml:space="preserve">: Updated </w:t>
            </w:r>
            <w:r w:rsidR="00FD4121">
              <w:t>to include new name and new</w:t>
            </w:r>
            <w:r w:rsidR="00A15B63">
              <w:t xml:space="preserve"> firmware</w:t>
            </w:r>
            <w:r w:rsidR="00FD4121">
              <w:t xml:space="preserve"> version</w:t>
            </w:r>
            <w:r w:rsidR="00A15B63">
              <w:t>.</w:t>
            </w:r>
          </w:p>
        </w:tc>
      </w:tr>
      <w:tr w:rsidR="00115157" w:rsidRPr="00A53980" w14:paraId="385DB540" w14:textId="36C49820" w:rsidTr="00194325">
        <w:tc>
          <w:tcPr>
            <w:tcW w:w="1991" w:type="dxa"/>
            <w:shd w:val="clear" w:color="auto" w:fill="FFFFFF"/>
            <w:tcMar>
              <w:left w:w="72" w:type="dxa"/>
              <w:right w:w="72" w:type="dxa"/>
            </w:tcMar>
          </w:tcPr>
          <w:p w14:paraId="1603CA61" w14:textId="405A24E6" w:rsidR="00115157" w:rsidRPr="00A53980" w:rsidRDefault="00115157" w:rsidP="006A5562">
            <w:pPr>
              <w:numPr>
                <w:ilvl w:val="0"/>
                <w:numId w:val="1"/>
              </w:numPr>
              <w:spacing w:before="120" w:after="120"/>
              <w:ind w:left="576"/>
              <w:rPr>
                <w:rFonts w:eastAsia="Calibri"/>
              </w:rPr>
            </w:pPr>
            <w:r>
              <w:t>Cryptographic module interfaces</w:t>
            </w:r>
          </w:p>
        </w:tc>
        <w:tc>
          <w:tcPr>
            <w:tcW w:w="7004" w:type="dxa"/>
            <w:shd w:val="clear" w:color="auto" w:fill="FFFFFF"/>
          </w:tcPr>
          <w:p w14:paraId="4AEB1A53" w14:textId="6556CC4A" w:rsidR="00115157" w:rsidRPr="00A53980" w:rsidRDefault="00115157" w:rsidP="006A5562">
            <w:pPr>
              <w:autoSpaceDE w:val="0"/>
              <w:autoSpaceDN w:val="0"/>
              <w:adjustRightInd w:val="0"/>
              <w:spacing w:before="120" w:after="120"/>
            </w:pPr>
            <w:r w:rsidRPr="00A53980">
              <w:t>No change</w:t>
            </w:r>
          </w:p>
        </w:tc>
      </w:tr>
      <w:tr w:rsidR="00115157" w:rsidRPr="00A53980" w14:paraId="21286B77" w14:textId="6906A74A" w:rsidTr="00194325">
        <w:tc>
          <w:tcPr>
            <w:tcW w:w="1991" w:type="dxa"/>
            <w:shd w:val="clear" w:color="auto" w:fill="FFFFFF"/>
            <w:tcMar>
              <w:left w:w="72" w:type="dxa"/>
              <w:right w:w="72" w:type="dxa"/>
            </w:tcMar>
          </w:tcPr>
          <w:p w14:paraId="7DFF1C95" w14:textId="424E9206" w:rsidR="00115157" w:rsidRPr="00A53980" w:rsidRDefault="00115157" w:rsidP="006A5562">
            <w:pPr>
              <w:numPr>
                <w:ilvl w:val="0"/>
                <w:numId w:val="1"/>
              </w:numPr>
              <w:spacing w:before="120" w:after="120"/>
              <w:ind w:left="576"/>
              <w:rPr>
                <w:rFonts w:eastAsia="Calibri"/>
              </w:rPr>
            </w:pPr>
            <w:r>
              <w:t>Roles, services, and authentication</w:t>
            </w:r>
          </w:p>
        </w:tc>
        <w:tc>
          <w:tcPr>
            <w:tcW w:w="7004" w:type="dxa"/>
            <w:shd w:val="clear" w:color="auto" w:fill="FFFFFF"/>
          </w:tcPr>
          <w:p w14:paraId="55B523BA" w14:textId="1756ED51" w:rsidR="00115157" w:rsidRPr="00A53980" w:rsidRDefault="00115157" w:rsidP="006A5562">
            <w:pPr>
              <w:autoSpaceDE w:val="0"/>
              <w:autoSpaceDN w:val="0"/>
              <w:adjustRightInd w:val="0"/>
              <w:spacing w:before="120" w:after="120"/>
              <w:rPr>
                <w:rFonts w:eastAsia="Calibri"/>
              </w:rPr>
            </w:pPr>
            <w:r w:rsidRPr="00194325">
              <w:rPr>
                <w:rFonts w:eastAsia="Calibri"/>
              </w:rPr>
              <w:t>04.13</w:t>
            </w:r>
            <w:r>
              <w:rPr>
                <w:rFonts w:eastAsia="Calibri"/>
              </w:rPr>
              <w:t xml:space="preserve">.01, </w:t>
            </w:r>
            <w:r w:rsidRPr="00194325">
              <w:rPr>
                <w:rFonts w:eastAsia="Calibri"/>
              </w:rPr>
              <w:t>04.13</w:t>
            </w:r>
            <w:r>
              <w:rPr>
                <w:rFonts w:eastAsia="Calibri"/>
              </w:rPr>
              <w:t xml:space="preserve">.02, </w:t>
            </w:r>
            <w:r w:rsidRPr="00194325">
              <w:rPr>
                <w:rFonts w:eastAsia="Calibri"/>
              </w:rPr>
              <w:t>04.13</w:t>
            </w:r>
            <w:r>
              <w:rPr>
                <w:rFonts w:eastAsia="Calibri"/>
              </w:rPr>
              <w:t xml:space="preserve">.03: </w:t>
            </w:r>
            <w:r>
              <w:t>Updated and retested for new version.</w:t>
            </w:r>
          </w:p>
        </w:tc>
      </w:tr>
      <w:tr w:rsidR="00115157" w:rsidRPr="00A53980" w14:paraId="5BBACD11" w14:textId="3B48B13D" w:rsidTr="00194325">
        <w:tc>
          <w:tcPr>
            <w:tcW w:w="1991" w:type="dxa"/>
            <w:shd w:val="clear" w:color="auto" w:fill="FFFFFF"/>
            <w:tcMar>
              <w:left w:w="72" w:type="dxa"/>
              <w:right w:w="72" w:type="dxa"/>
            </w:tcMar>
          </w:tcPr>
          <w:p w14:paraId="26AF865B" w14:textId="0303C81C" w:rsidR="00115157" w:rsidRPr="00A53980" w:rsidRDefault="00115157" w:rsidP="006A5562">
            <w:pPr>
              <w:numPr>
                <w:ilvl w:val="0"/>
                <w:numId w:val="1"/>
              </w:numPr>
              <w:spacing w:before="120" w:after="120"/>
              <w:ind w:left="576"/>
              <w:rPr>
                <w:rFonts w:eastAsia="Calibri"/>
              </w:rPr>
            </w:pPr>
            <w:r w:rsidRPr="00E00880">
              <w:rPr>
                <w:rFonts w:eastAsia="Calibri"/>
              </w:rPr>
              <w:t>Software/Firmware security</w:t>
            </w:r>
          </w:p>
        </w:tc>
        <w:tc>
          <w:tcPr>
            <w:tcW w:w="7004" w:type="dxa"/>
            <w:shd w:val="clear" w:color="auto" w:fill="FFFFFF"/>
          </w:tcPr>
          <w:p w14:paraId="4CA7C845" w14:textId="01F70D63" w:rsidR="00115157" w:rsidRPr="00A53980" w:rsidRDefault="00441986" w:rsidP="006A5562">
            <w:pPr>
              <w:autoSpaceDE w:val="0"/>
              <w:autoSpaceDN w:val="0"/>
              <w:adjustRightInd w:val="0"/>
              <w:spacing w:before="120" w:after="120"/>
            </w:pPr>
            <w:r>
              <w:t>…</w:t>
            </w:r>
          </w:p>
        </w:tc>
      </w:tr>
      <w:tr w:rsidR="00441986" w:rsidRPr="00A53980" w14:paraId="38673818" w14:textId="494C645F" w:rsidTr="00194325">
        <w:tc>
          <w:tcPr>
            <w:tcW w:w="1991" w:type="dxa"/>
            <w:shd w:val="clear" w:color="auto" w:fill="FFFFFF"/>
            <w:tcMar>
              <w:left w:w="72" w:type="dxa"/>
              <w:right w:w="72" w:type="dxa"/>
            </w:tcMar>
          </w:tcPr>
          <w:p w14:paraId="2859E263" w14:textId="17304BFB" w:rsidR="00441986" w:rsidRPr="00A53980" w:rsidRDefault="00441986" w:rsidP="00441986">
            <w:pPr>
              <w:numPr>
                <w:ilvl w:val="0"/>
                <w:numId w:val="1"/>
              </w:numPr>
              <w:spacing w:before="120" w:after="120"/>
              <w:ind w:left="576"/>
              <w:rPr>
                <w:rFonts w:eastAsia="Calibri"/>
              </w:rPr>
            </w:pPr>
            <w:r w:rsidRPr="00E00880">
              <w:rPr>
                <w:rFonts w:eastAsia="Calibri"/>
              </w:rPr>
              <w:t>Operational environment</w:t>
            </w:r>
          </w:p>
        </w:tc>
        <w:tc>
          <w:tcPr>
            <w:tcW w:w="7004" w:type="dxa"/>
            <w:shd w:val="clear" w:color="auto" w:fill="FFFFFF"/>
          </w:tcPr>
          <w:p w14:paraId="1B4EC84F" w14:textId="2E342705" w:rsidR="00441986" w:rsidRPr="00A53980" w:rsidRDefault="00441986" w:rsidP="00441986">
            <w:pPr>
              <w:spacing w:before="120" w:after="120"/>
            </w:pPr>
            <w:r>
              <w:t>…</w:t>
            </w:r>
          </w:p>
        </w:tc>
      </w:tr>
      <w:tr w:rsidR="00441986" w:rsidRPr="00A53980" w14:paraId="48398B06" w14:textId="75C382FC" w:rsidTr="00194325">
        <w:tc>
          <w:tcPr>
            <w:tcW w:w="1991" w:type="dxa"/>
            <w:shd w:val="clear" w:color="auto" w:fill="FFFFFF"/>
            <w:tcMar>
              <w:left w:w="72" w:type="dxa"/>
              <w:right w:w="72" w:type="dxa"/>
            </w:tcMar>
          </w:tcPr>
          <w:p w14:paraId="6ADFCFCD" w14:textId="17DAB9AA" w:rsidR="00441986" w:rsidRPr="00A53980" w:rsidRDefault="00441986" w:rsidP="00441986">
            <w:pPr>
              <w:numPr>
                <w:ilvl w:val="0"/>
                <w:numId w:val="1"/>
              </w:numPr>
              <w:spacing w:before="120" w:after="120"/>
              <w:ind w:left="576"/>
              <w:rPr>
                <w:rFonts w:eastAsia="Calibri"/>
              </w:rPr>
            </w:pPr>
            <w:r w:rsidRPr="00E00880">
              <w:rPr>
                <w:rFonts w:eastAsia="Calibri"/>
              </w:rPr>
              <w:t>Physical security</w:t>
            </w:r>
          </w:p>
        </w:tc>
        <w:tc>
          <w:tcPr>
            <w:tcW w:w="7004" w:type="dxa"/>
            <w:shd w:val="clear" w:color="auto" w:fill="FFFFFF"/>
          </w:tcPr>
          <w:p w14:paraId="6F73CAD7" w14:textId="55256BB8" w:rsidR="00441986" w:rsidRPr="00A53980" w:rsidRDefault="00441986" w:rsidP="00441986">
            <w:pPr>
              <w:autoSpaceDE w:val="0"/>
              <w:autoSpaceDN w:val="0"/>
              <w:adjustRightInd w:val="0"/>
              <w:spacing w:before="120" w:after="120"/>
            </w:pPr>
            <w:r>
              <w:t>…</w:t>
            </w:r>
          </w:p>
        </w:tc>
      </w:tr>
      <w:tr w:rsidR="00441986" w:rsidRPr="00A53980" w14:paraId="065F2ABB" w14:textId="514A4C43" w:rsidTr="00194325">
        <w:tc>
          <w:tcPr>
            <w:tcW w:w="1991" w:type="dxa"/>
            <w:shd w:val="clear" w:color="auto" w:fill="FFFFFF"/>
          </w:tcPr>
          <w:p w14:paraId="629734D4" w14:textId="07A7BA83" w:rsidR="00441986" w:rsidRPr="00A53980" w:rsidRDefault="00441986" w:rsidP="00441986">
            <w:pPr>
              <w:numPr>
                <w:ilvl w:val="0"/>
                <w:numId w:val="1"/>
              </w:numPr>
              <w:spacing w:before="120" w:after="120"/>
              <w:ind w:left="576"/>
              <w:rPr>
                <w:rFonts w:eastAsia="Calibri"/>
              </w:rPr>
            </w:pPr>
            <w:r w:rsidRPr="00EA02EE">
              <w:rPr>
                <w:rFonts w:eastAsia="Calibri"/>
              </w:rPr>
              <w:t>Non-invasive security</w:t>
            </w:r>
          </w:p>
        </w:tc>
        <w:tc>
          <w:tcPr>
            <w:tcW w:w="7004" w:type="dxa"/>
            <w:shd w:val="clear" w:color="auto" w:fill="FFFFFF"/>
          </w:tcPr>
          <w:p w14:paraId="59BB6D5B" w14:textId="49523DD5" w:rsidR="00441986" w:rsidRPr="00A53980" w:rsidRDefault="00441986" w:rsidP="00441986">
            <w:pPr>
              <w:autoSpaceDE w:val="0"/>
              <w:autoSpaceDN w:val="0"/>
              <w:adjustRightInd w:val="0"/>
              <w:spacing w:before="120" w:after="120"/>
            </w:pPr>
            <w:r>
              <w:t>…</w:t>
            </w:r>
          </w:p>
        </w:tc>
      </w:tr>
      <w:tr w:rsidR="00441986" w:rsidRPr="00A53980" w14:paraId="28957177" w14:textId="719A2050" w:rsidTr="00194325">
        <w:tc>
          <w:tcPr>
            <w:tcW w:w="1991" w:type="dxa"/>
            <w:shd w:val="clear" w:color="auto" w:fill="FFFFFF"/>
          </w:tcPr>
          <w:p w14:paraId="0BF70647" w14:textId="5A81EF6D" w:rsidR="00441986" w:rsidRPr="00A53980" w:rsidRDefault="00441986" w:rsidP="00441986">
            <w:pPr>
              <w:numPr>
                <w:ilvl w:val="0"/>
                <w:numId w:val="1"/>
              </w:numPr>
              <w:spacing w:before="120" w:after="120"/>
              <w:ind w:left="576"/>
              <w:rPr>
                <w:rFonts w:eastAsia="Calibri"/>
              </w:rPr>
            </w:pPr>
            <w:r>
              <w:t xml:space="preserve">Sensitive security parameter management </w:t>
            </w:r>
          </w:p>
        </w:tc>
        <w:tc>
          <w:tcPr>
            <w:tcW w:w="7004" w:type="dxa"/>
            <w:shd w:val="clear" w:color="auto" w:fill="FFFFFF"/>
          </w:tcPr>
          <w:p w14:paraId="1EB88A11" w14:textId="6954817B" w:rsidR="00441986" w:rsidRPr="00A53980" w:rsidRDefault="00441986" w:rsidP="00441986">
            <w:pPr>
              <w:autoSpaceDE w:val="0"/>
              <w:autoSpaceDN w:val="0"/>
              <w:adjustRightInd w:val="0"/>
              <w:spacing w:before="120" w:after="120"/>
            </w:pPr>
            <w:r>
              <w:t>…</w:t>
            </w:r>
          </w:p>
        </w:tc>
      </w:tr>
      <w:tr w:rsidR="00441986" w:rsidRPr="00A53980" w14:paraId="3DD483FD" w14:textId="1291FEDF" w:rsidTr="00194325">
        <w:tc>
          <w:tcPr>
            <w:tcW w:w="1991" w:type="dxa"/>
            <w:shd w:val="clear" w:color="auto" w:fill="FFFFFF"/>
          </w:tcPr>
          <w:p w14:paraId="082E9A0E" w14:textId="51F6F18A" w:rsidR="00441986" w:rsidRPr="00A53980" w:rsidRDefault="00441986" w:rsidP="00441986">
            <w:pPr>
              <w:numPr>
                <w:ilvl w:val="0"/>
                <w:numId w:val="1"/>
              </w:numPr>
              <w:spacing w:before="120" w:after="120"/>
              <w:ind w:left="576"/>
              <w:rPr>
                <w:rFonts w:eastAsia="Calibri"/>
              </w:rPr>
            </w:pPr>
            <w:r w:rsidRPr="003054EE">
              <w:rPr>
                <w:rFonts w:eastAsia="Calibri"/>
              </w:rPr>
              <w:t>Self-tests</w:t>
            </w:r>
          </w:p>
        </w:tc>
        <w:tc>
          <w:tcPr>
            <w:tcW w:w="7004" w:type="dxa"/>
            <w:shd w:val="clear" w:color="auto" w:fill="FFFFFF"/>
          </w:tcPr>
          <w:p w14:paraId="126167B7" w14:textId="747BA108" w:rsidR="00441986" w:rsidRPr="00A53980" w:rsidRDefault="00441986" w:rsidP="00441986">
            <w:pPr>
              <w:spacing w:before="120" w:after="120"/>
            </w:pPr>
            <w:r>
              <w:t>…</w:t>
            </w:r>
          </w:p>
        </w:tc>
      </w:tr>
      <w:tr w:rsidR="00441986" w:rsidRPr="00A53980" w14:paraId="07741668" w14:textId="34A3EBEC" w:rsidTr="00194325">
        <w:tc>
          <w:tcPr>
            <w:tcW w:w="1991" w:type="dxa"/>
            <w:shd w:val="clear" w:color="auto" w:fill="FFFFFF"/>
          </w:tcPr>
          <w:p w14:paraId="1CD856B5" w14:textId="27B3C41F" w:rsidR="00441986" w:rsidRPr="00A53980" w:rsidRDefault="00441986" w:rsidP="00441986">
            <w:pPr>
              <w:numPr>
                <w:ilvl w:val="0"/>
                <w:numId w:val="1"/>
              </w:numPr>
              <w:spacing w:before="120" w:after="120"/>
              <w:ind w:left="576"/>
              <w:rPr>
                <w:rFonts w:eastAsia="Calibri"/>
              </w:rPr>
            </w:pPr>
            <w:r w:rsidRPr="003054EE">
              <w:rPr>
                <w:rFonts w:eastAsia="Calibri"/>
              </w:rPr>
              <w:t>Life-cycle assurance</w:t>
            </w:r>
          </w:p>
        </w:tc>
        <w:tc>
          <w:tcPr>
            <w:tcW w:w="7004" w:type="dxa"/>
            <w:shd w:val="clear" w:color="auto" w:fill="FFFFFF"/>
          </w:tcPr>
          <w:p w14:paraId="69193787" w14:textId="63FC3C74" w:rsidR="00441986" w:rsidRPr="00A53980" w:rsidRDefault="00441986" w:rsidP="00441986">
            <w:pPr>
              <w:autoSpaceDE w:val="0"/>
              <w:autoSpaceDN w:val="0"/>
              <w:adjustRightInd w:val="0"/>
              <w:spacing w:before="120" w:after="120"/>
            </w:pPr>
            <w:r>
              <w:t>…</w:t>
            </w:r>
          </w:p>
        </w:tc>
      </w:tr>
      <w:tr w:rsidR="00441986" w:rsidRPr="00A53980" w14:paraId="760F5CA7" w14:textId="5ED229BE" w:rsidTr="00194325">
        <w:tc>
          <w:tcPr>
            <w:tcW w:w="1991" w:type="dxa"/>
            <w:shd w:val="clear" w:color="auto" w:fill="FFFFFF"/>
          </w:tcPr>
          <w:p w14:paraId="0B8C3787" w14:textId="3AD82A54" w:rsidR="00441986" w:rsidRPr="00A53980" w:rsidRDefault="00441986" w:rsidP="00441986">
            <w:pPr>
              <w:numPr>
                <w:ilvl w:val="0"/>
                <w:numId w:val="1"/>
              </w:numPr>
              <w:spacing w:before="120" w:after="120"/>
              <w:ind w:left="576"/>
              <w:rPr>
                <w:rFonts w:eastAsia="Calibri"/>
              </w:rPr>
            </w:pPr>
            <w:r>
              <w:t>Mitigation of other attacks</w:t>
            </w:r>
          </w:p>
        </w:tc>
        <w:tc>
          <w:tcPr>
            <w:tcW w:w="7004" w:type="dxa"/>
            <w:shd w:val="clear" w:color="auto" w:fill="FFFFFF"/>
          </w:tcPr>
          <w:p w14:paraId="1D3ADBCF" w14:textId="70C548A7" w:rsidR="00441986" w:rsidRPr="00A53980" w:rsidRDefault="00441986" w:rsidP="00441986">
            <w:pPr>
              <w:autoSpaceDE w:val="0"/>
              <w:autoSpaceDN w:val="0"/>
              <w:adjustRightInd w:val="0"/>
              <w:spacing w:before="120" w:after="120"/>
            </w:pPr>
            <w:r>
              <w:t>…</w:t>
            </w:r>
          </w:p>
        </w:tc>
      </w:tr>
      <w:tr w:rsidR="001D791B" w:rsidRPr="00A53980" w14:paraId="783E8EB7" w14:textId="77777777" w:rsidTr="00194325">
        <w:tc>
          <w:tcPr>
            <w:tcW w:w="1991" w:type="dxa"/>
            <w:shd w:val="clear" w:color="auto" w:fill="FFFFFF"/>
          </w:tcPr>
          <w:p w14:paraId="6D05A190" w14:textId="0CCDDB9E" w:rsidR="001D791B" w:rsidRDefault="001D791B" w:rsidP="001D791B">
            <w:pPr>
              <w:spacing w:before="120" w:after="120"/>
            </w:pPr>
            <w:r w:rsidRPr="001D791B">
              <w:t>Appendix B</w:t>
            </w:r>
          </w:p>
        </w:tc>
        <w:tc>
          <w:tcPr>
            <w:tcW w:w="7004" w:type="dxa"/>
            <w:shd w:val="clear" w:color="auto" w:fill="FFFFFF"/>
          </w:tcPr>
          <w:p w14:paraId="0C140CDF" w14:textId="77777777" w:rsidR="001D791B" w:rsidRDefault="001D791B" w:rsidP="00441986">
            <w:pPr>
              <w:autoSpaceDE w:val="0"/>
              <w:autoSpaceDN w:val="0"/>
              <w:adjustRightInd w:val="0"/>
              <w:spacing w:before="120" w:after="120"/>
            </w:pPr>
          </w:p>
        </w:tc>
      </w:tr>
    </w:tbl>
    <w:p w14:paraId="4BE27305" w14:textId="496376FC" w:rsidR="00FE0387" w:rsidRDefault="00FE0387">
      <w:pPr>
        <w:rPr>
          <w:rFonts w:ascii="Times New Roman" w:eastAsia="Times New Roman" w:hAnsi="Times New Roman" w:cs="Times New Roman"/>
          <w:color w:val="2F5496" w:themeColor="accent1" w:themeShade="BF"/>
          <w:sz w:val="32"/>
          <w:szCs w:val="32"/>
        </w:rPr>
      </w:pPr>
    </w:p>
    <w:p w14:paraId="4CB70231" w14:textId="14C45AF7" w:rsidR="00DA5D8B" w:rsidRPr="003D3F09" w:rsidRDefault="00DA5D8B" w:rsidP="00C361A2">
      <w:pPr>
        <w:pStyle w:val="Heading1"/>
        <w:numPr>
          <w:ilvl w:val="0"/>
          <w:numId w:val="12"/>
        </w:numPr>
        <w:spacing w:before="120" w:after="120" w:line="240" w:lineRule="auto"/>
        <w:rPr>
          <w:rFonts w:ascii="Times New Roman" w:eastAsia="Times New Roman" w:hAnsi="Times New Roman" w:cs="Times New Roman"/>
        </w:rPr>
      </w:pPr>
      <w:bookmarkStart w:id="16" w:name="_Toc161415379"/>
      <w:r>
        <w:rPr>
          <w:rFonts w:ascii="Times New Roman" w:eastAsia="Times New Roman" w:hAnsi="Times New Roman" w:cs="Times New Roman"/>
        </w:rPr>
        <w:lastRenderedPageBreak/>
        <w:t>Predefined Regression Testing</w:t>
      </w:r>
      <w:bookmarkEnd w:id="16"/>
    </w:p>
    <w:p w14:paraId="3DDAC33D" w14:textId="5D6F7016" w:rsidR="000E20D7" w:rsidRPr="0016241B" w:rsidRDefault="00C43D45" w:rsidP="006A5562">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16241B">
        <w:rPr>
          <w:rFonts w:ascii="Times New Roman" w:eastAsia="Times New Roman" w:hAnsi="Times New Roman" w:cs="Times New Roman"/>
          <w:sz w:val="20"/>
          <w:szCs w:val="20"/>
        </w:rPr>
        <w:t xml:space="preserve">minimum </w:t>
      </w:r>
      <w:r>
        <w:rPr>
          <w:rFonts w:ascii="Times New Roman" w:eastAsia="Times New Roman" w:hAnsi="Times New Roman" w:cs="Times New Roman"/>
          <w:sz w:val="20"/>
          <w:szCs w:val="20"/>
        </w:rPr>
        <w:t>predefined regression tests are shown</w:t>
      </w:r>
      <w:r w:rsidR="0081325E">
        <w:rPr>
          <w:rFonts w:ascii="Times New Roman" w:eastAsia="Times New Roman" w:hAnsi="Times New Roman" w:cs="Times New Roman"/>
          <w:sz w:val="20"/>
          <w:szCs w:val="20"/>
        </w:rPr>
        <w:t xml:space="preserve"> o</w:t>
      </w:r>
      <w:r w:rsidR="0081325E" w:rsidRPr="004178ED">
        <w:rPr>
          <w:rFonts w:ascii="Times New Roman" w:eastAsia="Times New Roman" w:hAnsi="Times New Roman" w:cs="Times New Roman"/>
          <w:sz w:val="20"/>
          <w:szCs w:val="20"/>
        </w:rPr>
        <w:t xml:space="preserve">n </w:t>
      </w:r>
      <w:r w:rsidR="0081325E">
        <w:rPr>
          <w:rFonts w:ascii="Times New Roman" w:eastAsia="Times New Roman" w:hAnsi="Times New Roman" w:cs="Times New Roman"/>
          <w:sz w:val="20"/>
          <w:szCs w:val="20"/>
        </w:rPr>
        <w:t xml:space="preserve">the </w:t>
      </w:r>
      <w:hyperlink r:id="rId24" w:history="1">
        <w:r w:rsidR="0081325E" w:rsidRPr="00E024DE">
          <w:rPr>
            <w:rStyle w:val="Hyperlink"/>
            <w:rFonts w:ascii="Times New Roman" w:eastAsia="Times New Roman" w:hAnsi="Times New Roman" w:cs="Times New Roman"/>
            <w:sz w:val="20"/>
            <w:szCs w:val="20"/>
          </w:rPr>
          <w:t>CMVP website</w:t>
        </w:r>
      </w:hyperlink>
      <w:r w:rsidR="0016241B">
        <w:rPr>
          <w:rFonts w:ascii="Times New Roman" w:eastAsia="Times New Roman" w:hAnsi="Times New Roman" w:cs="Times New Roman"/>
          <w:sz w:val="20"/>
          <w:szCs w:val="20"/>
        </w:rPr>
        <w:t xml:space="preserve"> for the OEUP, PTSC, UPDT, CVE, TRNS (code changes), and TRNS (no code changes).</w:t>
      </w:r>
    </w:p>
    <w:sectPr w:rsidR="000E20D7" w:rsidRPr="0016241B" w:rsidSect="004329C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FE26" w14:textId="77777777" w:rsidR="006E54F5" w:rsidRDefault="006E54F5" w:rsidP="00157472">
      <w:pPr>
        <w:spacing w:after="0" w:line="240" w:lineRule="auto"/>
      </w:pPr>
      <w:r>
        <w:separator/>
      </w:r>
    </w:p>
  </w:endnote>
  <w:endnote w:type="continuationSeparator" w:id="0">
    <w:p w14:paraId="42523C61" w14:textId="77777777" w:rsidR="006E54F5" w:rsidRDefault="006E54F5" w:rsidP="0015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797202"/>
      <w:docPartObj>
        <w:docPartGallery w:val="Page Numbers (Bottom of Page)"/>
        <w:docPartUnique/>
      </w:docPartObj>
    </w:sdtPr>
    <w:sdtEndPr>
      <w:rPr>
        <w:noProof/>
      </w:rPr>
    </w:sdtEndPr>
    <w:sdtContent>
      <w:p w14:paraId="7F2B13F3" w14:textId="3914B884" w:rsidR="00EA1BF7" w:rsidRDefault="00EA1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EE146" w14:textId="77777777" w:rsidR="00EA1BF7" w:rsidRDefault="00EA1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45C2" w14:textId="77777777" w:rsidR="006E54F5" w:rsidRDefault="006E54F5" w:rsidP="00157472">
      <w:pPr>
        <w:spacing w:after="0" w:line="240" w:lineRule="auto"/>
      </w:pPr>
      <w:r>
        <w:separator/>
      </w:r>
    </w:p>
  </w:footnote>
  <w:footnote w:type="continuationSeparator" w:id="0">
    <w:p w14:paraId="68FE2AA8" w14:textId="77777777" w:rsidR="006E54F5" w:rsidRDefault="006E54F5" w:rsidP="00157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4C"/>
    <w:multiLevelType w:val="hybridMultilevel"/>
    <w:tmpl w:val="E0802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354BE"/>
    <w:multiLevelType w:val="hybridMultilevel"/>
    <w:tmpl w:val="A78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6504"/>
    <w:multiLevelType w:val="hybridMultilevel"/>
    <w:tmpl w:val="EFD2EE82"/>
    <w:lvl w:ilvl="0" w:tplc="6CA45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45856"/>
    <w:multiLevelType w:val="hybridMultilevel"/>
    <w:tmpl w:val="324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34B7D"/>
    <w:multiLevelType w:val="hybridMultilevel"/>
    <w:tmpl w:val="8B48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15C4F"/>
    <w:multiLevelType w:val="hybridMultilevel"/>
    <w:tmpl w:val="F43C3E4C"/>
    <w:lvl w:ilvl="0" w:tplc="6CA45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066240"/>
    <w:multiLevelType w:val="hybridMultilevel"/>
    <w:tmpl w:val="14FC8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0710A"/>
    <w:multiLevelType w:val="hybridMultilevel"/>
    <w:tmpl w:val="026A1908"/>
    <w:lvl w:ilvl="0" w:tplc="716A8240">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116CE7"/>
    <w:multiLevelType w:val="multilevel"/>
    <w:tmpl w:val="F25AE7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ED35F5F"/>
    <w:multiLevelType w:val="hybridMultilevel"/>
    <w:tmpl w:val="01C2D12E"/>
    <w:lvl w:ilvl="0" w:tplc="6CA451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91731"/>
    <w:multiLevelType w:val="hybridMultilevel"/>
    <w:tmpl w:val="07F81514"/>
    <w:lvl w:ilvl="0" w:tplc="0EFE7BC0">
      <w:start w:val="1"/>
      <w:numFmt w:val="decimal"/>
      <w:suff w:val="space"/>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A0A0D"/>
    <w:multiLevelType w:val="hybridMultilevel"/>
    <w:tmpl w:val="76E2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01C23"/>
    <w:multiLevelType w:val="hybridMultilevel"/>
    <w:tmpl w:val="0B54D5E4"/>
    <w:lvl w:ilvl="0" w:tplc="04090019">
      <w:start w:val="1"/>
      <w:numFmt w:val="lowerLetter"/>
      <w:lvlText w:val="%1."/>
      <w:lvlJc w:val="left"/>
      <w:pPr>
        <w:ind w:left="1440" w:hanging="360"/>
      </w:pPr>
    </w:lvl>
    <w:lvl w:ilvl="1" w:tplc="09CA0868">
      <w:start w:val="1"/>
      <w:numFmt w:val="lowerRoman"/>
      <w:lvlText w:val="%2."/>
      <w:lvlJc w:val="right"/>
      <w:pPr>
        <w:ind w:left="2160" w:hanging="360"/>
      </w:pPr>
      <w:rPr>
        <w:rFonts w:ascii="Times New Roman" w:hAnsi="Times New Roman" w:cs="Times New Roman" w:hint="default"/>
        <w:sz w:val="20"/>
        <w:szCs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540390263">
    <w:abstractNumId w:val="10"/>
  </w:num>
  <w:num w:numId="2" w16cid:durableId="803160819">
    <w:abstractNumId w:val="6"/>
  </w:num>
  <w:num w:numId="3" w16cid:durableId="1031610118">
    <w:abstractNumId w:val="4"/>
  </w:num>
  <w:num w:numId="4" w16cid:durableId="412047669">
    <w:abstractNumId w:val="7"/>
  </w:num>
  <w:num w:numId="5" w16cid:durableId="1690375894">
    <w:abstractNumId w:val="11"/>
  </w:num>
  <w:num w:numId="6" w16cid:durableId="1049955318">
    <w:abstractNumId w:val="1"/>
  </w:num>
  <w:num w:numId="7" w16cid:durableId="1673726505">
    <w:abstractNumId w:val="2"/>
  </w:num>
  <w:num w:numId="8" w16cid:durableId="2046128443">
    <w:abstractNumId w:val="5"/>
  </w:num>
  <w:num w:numId="9" w16cid:durableId="1182089907">
    <w:abstractNumId w:val="9"/>
  </w:num>
  <w:num w:numId="10" w16cid:durableId="1922762628">
    <w:abstractNumId w:val="12"/>
  </w:num>
  <w:num w:numId="11" w16cid:durableId="798570726">
    <w:abstractNumId w:val="3"/>
  </w:num>
  <w:num w:numId="12" w16cid:durableId="702101001">
    <w:abstractNumId w:val="8"/>
  </w:num>
  <w:num w:numId="13" w16cid:durableId="137300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49"/>
    <w:rsid w:val="0001616E"/>
    <w:rsid w:val="00017983"/>
    <w:rsid w:val="00021359"/>
    <w:rsid w:val="0002492C"/>
    <w:rsid w:val="00030D15"/>
    <w:rsid w:val="000326A5"/>
    <w:rsid w:val="000337F6"/>
    <w:rsid w:val="00035674"/>
    <w:rsid w:val="00036866"/>
    <w:rsid w:val="00037EF4"/>
    <w:rsid w:val="00043976"/>
    <w:rsid w:val="00045342"/>
    <w:rsid w:val="000471ED"/>
    <w:rsid w:val="000513FA"/>
    <w:rsid w:val="00056DCE"/>
    <w:rsid w:val="00062220"/>
    <w:rsid w:val="00062A26"/>
    <w:rsid w:val="00071BCF"/>
    <w:rsid w:val="0008521A"/>
    <w:rsid w:val="00086419"/>
    <w:rsid w:val="00090A9B"/>
    <w:rsid w:val="000A00F7"/>
    <w:rsid w:val="000A390C"/>
    <w:rsid w:val="000A3CCE"/>
    <w:rsid w:val="000B00BE"/>
    <w:rsid w:val="000B55B8"/>
    <w:rsid w:val="000B6F00"/>
    <w:rsid w:val="000D3ABD"/>
    <w:rsid w:val="000E20D7"/>
    <w:rsid w:val="000E47A7"/>
    <w:rsid w:val="000F0049"/>
    <w:rsid w:val="000F08FE"/>
    <w:rsid w:val="000F7F28"/>
    <w:rsid w:val="00100CDA"/>
    <w:rsid w:val="001070B0"/>
    <w:rsid w:val="00114F6B"/>
    <w:rsid w:val="00115157"/>
    <w:rsid w:val="001234C2"/>
    <w:rsid w:val="001239EE"/>
    <w:rsid w:val="00124276"/>
    <w:rsid w:val="00130D6B"/>
    <w:rsid w:val="00132FD9"/>
    <w:rsid w:val="00137257"/>
    <w:rsid w:val="00137BC0"/>
    <w:rsid w:val="0014089E"/>
    <w:rsid w:val="00157472"/>
    <w:rsid w:val="00160CA2"/>
    <w:rsid w:val="00161CE0"/>
    <w:rsid w:val="0016241B"/>
    <w:rsid w:val="001733E1"/>
    <w:rsid w:val="001753DA"/>
    <w:rsid w:val="001851CC"/>
    <w:rsid w:val="00194325"/>
    <w:rsid w:val="001974DA"/>
    <w:rsid w:val="001A006C"/>
    <w:rsid w:val="001B4009"/>
    <w:rsid w:val="001B5DFB"/>
    <w:rsid w:val="001C1DAA"/>
    <w:rsid w:val="001C7790"/>
    <w:rsid w:val="001D1949"/>
    <w:rsid w:val="001D540B"/>
    <w:rsid w:val="001D791B"/>
    <w:rsid w:val="001E62C6"/>
    <w:rsid w:val="001F4EDD"/>
    <w:rsid w:val="001F7C05"/>
    <w:rsid w:val="0020050C"/>
    <w:rsid w:val="00203E72"/>
    <w:rsid w:val="00220372"/>
    <w:rsid w:val="0022293B"/>
    <w:rsid w:val="00237C2E"/>
    <w:rsid w:val="00243D85"/>
    <w:rsid w:val="002447E5"/>
    <w:rsid w:val="0025162B"/>
    <w:rsid w:val="00251B75"/>
    <w:rsid w:val="00251BC7"/>
    <w:rsid w:val="00253695"/>
    <w:rsid w:val="00255ABB"/>
    <w:rsid w:val="002650F8"/>
    <w:rsid w:val="00271BC1"/>
    <w:rsid w:val="002828B4"/>
    <w:rsid w:val="002840A9"/>
    <w:rsid w:val="00285FF0"/>
    <w:rsid w:val="00295E07"/>
    <w:rsid w:val="002A5CFF"/>
    <w:rsid w:val="002A73D7"/>
    <w:rsid w:val="002A77E0"/>
    <w:rsid w:val="002B5279"/>
    <w:rsid w:val="002B5993"/>
    <w:rsid w:val="002C6781"/>
    <w:rsid w:val="002D3B21"/>
    <w:rsid w:val="002E3063"/>
    <w:rsid w:val="002E678D"/>
    <w:rsid w:val="002F23EF"/>
    <w:rsid w:val="002F5764"/>
    <w:rsid w:val="002F762B"/>
    <w:rsid w:val="0030152E"/>
    <w:rsid w:val="003027DE"/>
    <w:rsid w:val="003054EE"/>
    <w:rsid w:val="00305F7E"/>
    <w:rsid w:val="003072D2"/>
    <w:rsid w:val="003114A8"/>
    <w:rsid w:val="0032647C"/>
    <w:rsid w:val="00327271"/>
    <w:rsid w:val="00333829"/>
    <w:rsid w:val="003378E7"/>
    <w:rsid w:val="0034160A"/>
    <w:rsid w:val="00341F8D"/>
    <w:rsid w:val="003470E3"/>
    <w:rsid w:val="00351E49"/>
    <w:rsid w:val="00354F08"/>
    <w:rsid w:val="00360F30"/>
    <w:rsid w:val="00362C04"/>
    <w:rsid w:val="00365EB6"/>
    <w:rsid w:val="0036652C"/>
    <w:rsid w:val="00366F6C"/>
    <w:rsid w:val="00376BD3"/>
    <w:rsid w:val="003809B5"/>
    <w:rsid w:val="003848BF"/>
    <w:rsid w:val="00385012"/>
    <w:rsid w:val="00387368"/>
    <w:rsid w:val="003A1431"/>
    <w:rsid w:val="003A3085"/>
    <w:rsid w:val="003B04CA"/>
    <w:rsid w:val="003B14AB"/>
    <w:rsid w:val="003B190B"/>
    <w:rsid w:val="003B50AD"/>
    <w:rsid w:val="003C3D2B"/>
    <w:rsid w:val="003C3F23"/>
    <w:rsid w:val="003C49C2"/>
    <w:rsid w:val="003C7C5C"/>
    <w:rsid w:val="003D2271"/>
    <w:rsid w:val="003D3F09"/>
    <w:rsid w:val="003E75B0"/>
    <w:rsid w:val="003E764E"/>
    <w:rsid w:val="003F007A"/>
    <w:rsid w:val="003F36DD"/>
    <w:rsid w:val="003F564C"/>
    <w:rsid w:val="003F7238"/>
    <w:rsid w:val="00403D2B"/>
    <w:rsid w:val="00412048"/>
    <w:rsid w:val="0041332C"/>
    <w:rsid w:val="004174B2"/>
    <w:rsid w:val="00423106"/>
    <w:rsid w:val="00424885"/>
    <w:rsid w:val="004267D6"/>
    <w:rsid w:val="004329C4"/>
    <w:rsid w:val="00437764"/>
    <w:rsid w:val="004379CE"/>
    <w:rsid w:val="00441986"/>
    <w:rsid w:val="004547B9"/>
    <w:rsid w:val="004562D1"/>
    <w:rsid w:val="00457768"/>
    <w:rsid w:val="00457902"/>
    <w:rsid w:val="004611F5"/>
    <w:rsid w:val="004736B5"/>
    <w:rsid w:val="004776FF"/>
    <w:rsid w:val="0048243D"/>
    <w:rsid w:val="00482601"/>
    <w:rsid w:val="00482AC1"/>
    <w:rsid w:val="004851F3"/>
    <w:rsid w:val="00492A59"/>
    <w:rsid w:val="00494600"/>
    <w:rsid w:val="0049527B"/>
    <w:rsid w:val="00495E8B"/>
    <w:rsid w:val="004A5506"/>
    <w:rsid w:val="004A7CC0"/>
    <w:rsid w:val="004B33B4"/>
    <w:rsid w:val="004B4EAF"/>
    <w:rsid w:val="004B6830"/>
    <w:rsid w:val="004C2DDA"/>
    <w:rsid w:val="004D2774"/>
    <w:rsid w:val="004D29A0"/>
    <w:rsid w:val="004E412E"/>
    <w:rsid w:val="004F1834"/>
    <w:rsid w:val="004F7ECE"/>
    <w:rsid w:val="0050083D"/>
    <w:rsid w:val="005118FB"/>
    <w:rsid w:val="0051570B"/>
    <w:rsid w:val="00520448"/>
    <w:rsid w:val="005217D8"/>
    <w:rsid w:val="00522E81"/>
    <w:rsid w:val="00526772"/>
    <w:rsid w:val="00530FA0"/>
    <w:rsid w:val="00533A84"/>
    <w:rsid w:val="005355FA"/>
    <w:rsid w:val="00542C1C"/>
    <w:rsid w:val="00546466"/>
    <w:rsid w:val="005575E0"/>
    <w:rsid w:val="00561E5C"/>
    <w:rsid w:val="0056627B"/>
    <w:rsid w:val="00566FE6"/>
    <w:rsid w:val="005734E5"/>
    <w:rsid w:val="00574982"/>
    <w:rsid w:val="00576F79"/>
    <w:rsid w:val="00577C58"/>
    <w:rsid w:val="00580E8A"/>
    <w:rsid w:val="00581A7C"/>
    <w:rsid w:val="005848B5"/>
    <w:rsid w:val="0058639E"/>
    <w:rsid w:val="00587B94"/>
    <w:rsid w:val="00587C41"/>
    <w:rsid w:val="00593594"/>
    <w:rsid w:val="00593602"/>
    <w:rsid w:val="00597F5B"/>
    <w:rsid w:val="005A49AF"/>
    <w:rsid w:val="005B0AD9"/>
    <w:rsid w:val="005B16C3"/>
    <w:rsid w:val="005B18B3"/>
    <w:rsid w:val="005C1E88"/>
    <w:rsid w:val="005C4CA2"/>
    <w:rsid w:val="005C746F"/>
    <w:rsid w:val="005D3DBF"/>
    <w:rsid w:val="005E0807"/>
    <w:rsid w:val="005E4873"/>
    <w:rsid w:val="005E4B0E"/>
    <w:rsid w:val="005E7CBE"/>
    <w:rsid w:val="005F387A"/>
    <w:rsid w:val="005F7B23"/>
    <w:rsid w:val="00615507"/>
    <w:rsid w:val="0062004F"/>
    <w:rsid w:val="0062229A"/>
    <w:rsid w:val="00624C0E"/>
    <w:rsid w:val="00625C3A"/>
    <w:rsid w:val="00632EB6"/>
    <w:rsid w:val="006332C7"/>
    <w:rsid w:val="00634B55"/>
    <w:rsid w:val="00655DB4"/>
    <w:rsid w:val="00657C02"/>
    <w:rsid w:val="00660204"/>
    <w:rsid w:val="0066131E"/>
    <w:rsid w:val="00662EC5"/>
    <w:rsid w:val="00663D29"/>
    <w:rsid w:val="006658B7"/>
    <w:rsid w:val="0067378B"/>
    <w:rsid w:val="00675AED"/>
    <w:rsid w:val="00680FAB"/>
    <w:rsid w:val="00690325"/>
    <w:rsid w:val="00697146"/>
    <w:rsid w:val="006A478D"/>
    <w:rsid w:val="006A5562"/>
    <w:rsid w:val="006A7E04"/>
    <w:rsid w:val="006B1825"/>
    <w:rsid w:val="006B50C0"/>
    <w:rsid w:val="006B7764"/>
    <w:rsid w:val="006D03A6"/>
    <w:rsid w:val="006D412B"/>
    <w:rsid w:val="006D583F"/>
    <w:rsid w:val="006E3AFE"/>
    <w:rsid w:val="006E54F5"/>
    <w:rsid w:val="006E5ADF"/>
    <w:rsid w:val="006E7A73"/>
    <w:rsid w:val="006F0A77"/>
    <w:rsid w:val="006F19B6"/>
    <w:rsid w:val="006F2743"/>
    <w:rsid w:val="00704CC3"/>
    <w:rsid w:val="00706895"/>
    <w:rsid w:val="00716C3B"/>
    <w:rsid w:val="00721D1A"/>
    <w:rsid w:val="00723520"/>
    <w:rsid w:val="00735904"/>
    <w:rsid w:val="00742D4B"/>
    <w:rsid w:val="007533C7"/>
    <w:rsid w:val="00753C27"/>
    <w:rsid w:val="007619B2"/>
    <w:rsid w:val="00761C6F"/>
    <w:rsid w:val="007637BF"/>
    <w:rsid w:val="0077357A"/>
    <w:rsid w:val="00775349"/>
    <w:rsid w:val="00775EAE"/>
    <w:rsid w:val="00781CED"/>
    <w:rsid w:val="00784E41"/>
    <w:rsid w:val="007856C5"/>
    <w:rsid w:val="007909C2"/>
    <w:rsid w:val="0079547D"/>
    <w:rsid w:val="007963BA"/>
    <w:rsid w:val="0079662C"/>
    <w:rsid w:val="007A76D5"/>
    <w:rsid w:val="007B37F8"/>
    <w:rsid w:val="007C024A"/>
    <w:rsid w:val="007D1DDF"/>
    <w:rsid w:val="007D22B2"/>
    <w:rsid w:val="007D250A"/>
    <w:rsid w:val="007E0FB4"/>
    <w:rsid w:val="007E2533"/>
    <w:rsid w:val="007E48A2"/>
    <w:rsid w:val="007E4FBF"/>
    <w:rsid w:val="007E5CEB"/>
    <w:rsid w:val="007E6CF0"/>
    <w:rsid w:val="007F22BF"/>
    <w:rsid w:val="007F5ABE"/>
    <w:rsid w:val="00804B38"/>
    <w:rsid w:val="008115DC"/>
    <w:rsid w:val="00811DB8"/>
    <w:rsid w:val="0081325E"/>
    <w:rsid w:val="00814B49"/>
    <w:rsid w:val="00816067"/>
    <w:rsid w:val="0082040A"/>
    <w:rsid w:val="0082087C"/>
    <w:rsid w:val="00832D9A"/>
    <w:rsid w:val="0083522E"/>
    <w:rsid w:val="00835825"/>
    <w:rsid w:val="00840C69"/>
    <w:rsid w:val="008436CF"/>
    <w:rsid w:val="008504D9"/>
    <w:rsid w:val="00851BD6"/>
    <w:rsid w:val="00854943"/>
    <w:rsid w:val="00857CD1"/>
    <w:rsid w:val="008723FF"/>
    <w:rsid w:val="00875A07"/>
    <w:rsid w:val="00885396"/>
    <w:rsid w:val="00895A65"/>
    <w:rsid w:val="008A3EDC"/>
    <w:rsid w:val="008A7922"/>
    <w:rsid w:val="008B278D"/>
    <w:rsid w:val="008B2EBE"/>
    <w:rsid w:val="008B577B"/>
    <w:rsid w:val="008C0CBC"/>
    <w:rsid w:val="008C0DF6"/>
    <w:rsid w:val="008C326B"/>
    <w:rsid w:val="008C4BD8"/>
    <w:rsid w:val="008C5806"/>
    <w:rsid w:val="008D1072"/>
    <w:rsid w:val="008E44D4"/>
    <w:rsid w:val="0090233D"/>
    <w:rsid w:val="009029E5"/>
    <w:rsid w:val="00905442"/>
    <w:rsid w:val="0090662A"/>
    <w:rsid w:val="009165A4"/>
    <w:rsid w:val="00916A1C"/>
    <w:rsid w:val="00921D3A"/>
    <w:rsid w:val="00936F3B"/>
    <w:rsid w:val="0093734A"/>
    <w:rsid w:val="0095372D"/>
    <w:rsid w:val="00971DCD"/>
    <w:rsid w:val="00975178"/>
    <w:rsid w:val="00976143"/>
    <w:rsid w:val="00976C06"/>
    <w:rsid w:val="00982AEA"/>
    <w:rsid w:val="00991013"/>
    <w:rsid w:val="009915FA"/>
    <w:rsid w:val="00995DF7"/>
    <w:rsid w:val="00997CEB"/>
    <w:rsid w:val="009A36A2"/>
    <w:rsid w:val="009A4B81"/>
    <w:rsid w:val="009B42C3"/>
    <w:rsid w:val="009D3151"/>
    <w:rsid w:val="009D52AA"/>
    <w:rsid w:val="009D7360"/>
    <w:rsid w:val="009E2465"/>
    <w:rsid w:val="009E6E89"/>
    <w:rsid w:val="009F7304"/>
    <w:rsid w:val="00A06887"/>
    <w:rsid w:val="00A15B63"/>
    <w:rsid w:val="00A16B0D"/>
    <w:rsid w:val="00A278F8"/>
    <w:rsid w:val="00A34487"/>
    <w:rsid w:val="00A36194"/>
    <w:rsid w:val="00A361F1"/>
    <w:rsid w:val="00A37695"/>
    <w:rsid w:val="00A442B8"/>
    <w:rsid w:val="00A45E3C"/>
    <w:rsid w:val="00A46130"/>
    <w:rsid w:val="00A5535F"/>
    <w:rsid w:val="00A701E9"/>
    <w:rsid w:val="00A87EF3"/>
    <w:rsid w:val="00A91B2D"/>
    <w:rsid w:val="00A948AE"/>
    <w:rsid w:val="00A9577B"/>
    <w:rsid w:val="00AA115B"/>
    <w:rsid w:val="00AA1BF9"/>
    <w:rsid w:val="00AA2BBD"/>
    <w:rsid w:val="00AA345F"/>
    <w:rsid w:val="00AA7FF2"/>
    <w:rsid w:val="00AB0117"/>
    <w:rsid w:val="00AB1BC4"/>
    <w:rsid w:val="00AE2883"/>
    <w:rsid w:val="00AF4C29"/>
    <w:rsid w:val="00B06C3D"/>
    <w:rsid w:val="00B1077C"/>
    <w:rsid w:val="00B12797"/>
    <w:rsid w:val="00B14AC4"/>
    <w:rsid w:val="00B3129E"/>
    <w:rsid w:val="00B3238A"/>
    <w:rsid w:val="00B358AF"/>
    <w:rsid w:val="00B37232"/>
    <w:rsid w:val="00B431CF"/>
    <w:rsid w:val="00B51295"/>
    <w:rsid w:val="00B53BFA"/>
    <w:rsid w:val="00B5527F"/>
    <w:rsid w:val="00B626BD"/>
    <w:rsid w:val="00B66216"/>
    <w:rsid w:val="00B70B84"/>
    <w:rsid w:val="00B73F75"/>
    <w:rsid w:val="00B8725F"/>
    <w:rsid w:val="00B90240"/>
    <w:rsid w:val="00B93C0D"/>
    <w:rsid w:val="00B94A58"/>
    <w:rsid w:val="00B95824"/>
    <w:rsid w:val="00B95FCD"/>
    <w:rsid w:val="00BA0789"/>
    <w:rsid w:val="00BB3A14"/>
    <w:rsid w:val="00BB7C66"/>
    <w:rsid w:val="00BC3C4E"/>
    <w:rsid w:val="00BC4E40"/>
    <w:rsid w:val="00BE0864"/>
    <w:rsid w:val="00BE55D6"/>
    <w:rsid w:val="00BF1A9F"/>
    <w:rsid w:val="00BF7E4F"/>
    <w:rsid w:val="00C064A6"/>
    <w:rsid w:val="00C2119D"/>
    <w:rsid w:val="00C244E0"/>
    <w:rsid w:val="00C27E14"/>
    <w:rsid w:val="00C361A2"/>
    <w:rsid w:val="00C43B8E"/>
    <w:rsid w:val="00C43D45"/>
    <w:rsid w:val="00C61967"/>
    <w:rsid w:val="00C65FDE"/>
    <w:rsid w:val="00C66123"/>
    <w:rsid w:val="00C72453"/>
    <w:rsid w:val="00C72C96"/>
    <w:rsid w:val="00C72E2E"/>
    <w:rsid w:val="00C7407F"/>
    <w:rsid w:val="00C74FF6"/>
    <w:rsid w:val="00C77AAF"/>
    <w:rsid w:val="00C80F07"/>
    <w:rsid w:val="00C81518"/>
    <w:rsid w:val="00C8787C"/>
    <w:rsid w:val="00CA07F7"/>
    <w:rsid w:val="00CA1199"/>
    <w:rsid w:val="00CA7BBC"/>
    <w:rsid w:val="00CB206A"/>
    <w:rsid w:val="00CB2F15"/>
    <w:rsid w:val="00CC18DC"/>
    <w:rsid w:val="00CC4588"/>
    <w:rsid w:val="00CC6CDE"/>
    <w:rsid w:val="00CC7062"/>
    <w:rsid w:val="00CC7C51"/>
    <w:rsid w:val="00CD3F76"/>
    <w:rsid w:val="00CE2195"/>
    <w:rsid w:val="00CE2282"/>
    <w:rsid w:val="00CE3092"/>
    <w:rsid w:val="00CF1A00"/>
    <w:rsid w:val="00D072FB"/>
    <w:rsid w:val="00D124E0"/>
    <w:rsid w:val="00D12BD4"/>
    <w:rsid w:val="00D225B3"/>
    <w:rsid w:val="00D23764"/>
    <w:rsid w:val="00D27AD6"/>
    <w:rsid w:val="00D31F4A"/>
    <w:rsid w:val="00D340C5"/>
    <w:rsid w:val="00D41044"/>
    <w:rsid w:val="00D5394F"/>
    <w:rsid w:val="00D56B74"/>
    <w:rsid w:val="00D57206"/>
    <w:rsid w:val="00D57282"/>
    <w:rsid w:val="00D609FD"/>
    <w:rsid w:val="00D60B28"/>
    <w:rsid w:val="00D620B7"/>
    <w:rsid w:val="00D656E3"/>
    <w:rsid w:val="00D664CF"/>
    <w:rsid w:val="00D67890"/>
    <w:rsid w:val="00D71797"/>
    <w:rsid w:val="00D82CF6"/>
    <w:rsid w:val="00D847F3"/>
    <w:rsid w:val="00D92301"/>
    <w:rsid w:val="00D934EC"/>
    <w:rsid w:val="00D96328"/>
    <w:rsid w:val="00DA07D6"/>
    <w:rsid w:val="00DA0E0A"/>
    <w:rsid w:val="00DA23E3"/>
    <w:rsid w:val="00DA5D8B"/>
    <w:rsid w:val="00DA60DA"/>
    <w:rsid w:val="00DB2B53"/>
    <w:rsid w:val="00DB5E04"/>
    <w:rsid w:val="00DC18FC"/>
    <w:rsid w:val="00DD124C"/>
    <w:rsid w:val="00DD5FB6"/>
    <w:rsid w:val="00DD637F"/>
    <w:rsid w:val="00DF0879"/>
    <w:rsid w:val="00DF4504"/>
    <w:rsid w:val="00DF54B3"/>
    <w:rsid w:val="00DF78B7"/>
    <w:rsid w:val="00E00880"/>
    <w:rsid w:val="00E02CB7"/>
    <w:rsid w:val="00E03527"/>
    <w:rsid w:val="00E03C30"/>
    <w:rsid w:val="00E067E7"/>
    <w:rsid w:val="00E126E8"/>
    <w:rsid w:val="00E2218C"/>
    <w:rsid w:val="00E26FC2"/>
    <w:rsid w:val="00E30624"/>
    <w:rsid w:val="00E309DB"/>
    <w:rsid w:val="00E36B57"/>
    <w:rsid w:val="00E3791E"/>
    <w:rsid w:val="00E5758D"/>
    <w:rsid w:val="00E71ED0"/>
    <w:rsid w:val="00E85B3C"/>
    <w:rsid w:val="00E90345"/>
    <w:rsid w:val="00EA02EE"/>
    <w:rsid w:val="00EA1BF7"/>
    <w:rsid w:val="00EA22D4"/>
    <w:rsid w:val="00EA73F4"/>
    <w:rsid w:val="00EB08DB"/>
    <w:rsid w:val="00EB0F61"/>
    <w:rsid w:val="00EB2609"/>
    <w:rsid w:val="00EC0FDF"/>
    <w:rsid w:val="00EC633E"/>
    <w:rsid w:val="00ED0D0C"/>
    <w:rsid w:val="00ED1982"/>
    <w:rsid w:val="00EE67A0"/>
    <w:rsid w:val="00EF2F16"/>
    <w:rsid w:val="00F20738"/>
    <w:rsid w:val="00F21A1B"/>
    <w:rsid w:val="00F433DF"/>
    <w:rsid w:val="00F43CEF"/>
    <w:rsid w:val="00F65E11"/>
    <w:rsid w:val="00F7207E"/>
    <w:rsid w:val="00F80427"/>
    <w:rsid w:val="00F80FDA"/>
    <w:rsid w:val="00F84A96"/>
    <w:rsid w:val="00F865DA"/>
    <w:rsid w:val="00F866ED"/>
    <w:rsid w:val="00F86A1A"/>
    <w:rsid w:val="00F938E5"/>
    <w:rsid w:val="00F97543"/>
    <w:rsid w:val="00FA0D6B"/>
    <w:rsid w:val="00FA4247"/>
    <w:rsid w:val="00FB122D"/>
    <w:rsid w:val="00FB625F"/>
    <w:rsid w:val="00FC3F59"/>
    <w:rsid w:val="00FC758E"/>
    <w:rsid w:val="00FD3A7C"/>
    <w:rsid w:val="00FD4121"/>
    <w:rsid w:val="00FE0387"/>
    <w:rsid w:val="00FE1E0E"/>
    <w:rsid w:val="00FF0162"/>
    <w:rsid w:val="00FF415B"/>
    <w:rsid w:val="00FF5804"/>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BEBD"/>
  <w15:chartTrackingRefBased/>
  <w15:docId w15:val="{B883E6CF-EBAA-43D6-A8F1-D1D5B931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FA"/>
  </w:style>
  <w:style w:type="paragraph" w:styleId="Heading1">
    <w:name w:val="heading 1"/>
    <w:basedOn w:val="Normal"/>
    <w:next w:val="Normal"/>
    <w:link w:val="Heading1Char"/>
    <w:uiPriority w:val="9"/>
    <w:qFormat/>
    <w:rsid w:val="00043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F65E11"/>
    <w:pPr>
      <w:widowControl w:val="0"/>
      <w:autoSpaceDE w:val="0"/>
      <w:autoSpaceDN w:val="0"/>
      <w:spacing w:before="119" w:after="0" w:line="240" w:lineRule="auto"/>
      <w:ind w:left="901"/>
      <w:outlineLvl w:val="2"/>
    </w:pPr>
    <w:rPr>
      <w:rFonts w:ascii="Times New Roman" w:eastAsia="Times New Roman" w:hAnsi="Times New Roman" w:cs="Times New Roman"/>
      <w:b/>
      <w:bCs/>
      <w:sz w:val="24"/>
      <w:szCs w:val="24"/>
      <w:u w:val="single" w:color="000000"/>
      <w:lang w:bidi="en-US"/>
    </w:rPr>
  </w:style>
  <w:style w:type="paragraph" w:styleId="Heading6">
    <w:name w:val="heading 6"/>
    <w:basedOn w:val="Normal"/>
    <w:link w:val="Heading6Char"/>
    <w:uiPriority w:val="9"/>
    <w:unhideWhenUsed/>
    <w:qFormat/>
    <w:rsid w:val="0067378B"/>
    <w:pPr>
      <w:widowControl w:val="0"/>
      <w:autoSpaceDE w:val="0"/>
      <w:autoSpaceDN w:val="0"/>
      <w:spacing w:after="0" w:line="240" w:lineRule="auto"/>
      <w:ind w:left="200"/>
      <w:outlineLvl w:val="5"/>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62D1"/>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4562D1"/>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rsid w:val="004562D1"/>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Caption">
    <w:name w:val="caption"/>
    <w:basedOn w:val="Normal"/>
    <w:next w:val="Normal"/>
    <w:uiPriority w:val="35"/>
    <w:unhideWhenUsed/>
    <w:qFormat/>
    <w:rsid w:val="004562D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562D1"/>
    <w:rPr>
      <w:sz w:val="16"/>
      <w:szCs w:val="16"/>
    </w:rPr>
  </w:style>
  <w:style w:type="paragraph" w:styleId="CommentText">
    <w:name w:val="annotation text"/>
    <w:basedOn w:val="Normal"/>
    <w:link w:val="CommentTextChar"/>
    <w:uiPriority w:val="99"/>
    <w:unhideWhenUsed/>
    <w:rsid w:val="004562D1"/>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4562D1"/>
    <w:rPr>
      <w:rFonts w:ascii="Times New Roman" w:eastAsia="Times New Roman" w:hAnsi="Times New Roman" w:cs="Times New Roman"/>
      <w:sz w:val="20"/>
      <w:szCs w:val="20"/>
      <w:lang w:bidi="en-US"/>
    </w:rPr>
  </w:style>
  <w:style w:type="character" w:customStyle="1" w:styleId="Heading6Char">
    <w:name w:val="Heading 6 Char"/>
    <w:basedOn w:val="DefaultParagraphFont"/>
    <w:link w:val="Heading6"/>
    <w:uiPriority w:val="9"/>
    <w:rsid w:val="0067378B"/>
    <w:rPr>
      <w:rFonts w:ascii="Times New Roman" w:eastAsia="Times New Roman" w:hAnsi="Times New Roman" w:cs="Times New Roman"/>
      <w:b/>
      <w:bCs/>
      <w:sz w:val="20"/>
      <w:szCs w:val="20"/>
      <w:lang w:bidi="en-US"/>
    </w:rPr>
  </w:style>
  <w:style w:type="table" w:styleId="TableGrid">
    <w:name w:val="Table Grid"/>
    <w:basedOn w:val="TableNormal"/>
    <w:rsid w:val="00B552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27F"/>
    <w:rPr>
      <w:color w:val="0563C1" w:themeColor="hyperlink"/>
      <w:u w:val="single"/>
    </w:rPr>
  </w:style>
  <w:style w:type="character" w:styleId="UnresolvedMention">
    <w:name w:val="Unresolved Mention"/>
    <w:basedOn w:val="DefaultParagraphFont"/>
    <w:uiPriority w:val="99"/>
    <w:semiHidden/>
    <w:unhideWhenUsed/>
    <w:rsid w:val="00B5527F"/>
    <w:rPr>
      <w:color w:val="605E5C"/>
      <w:shd w:val="clear" w:color="auto" w:fill="E1DFDD"/>
    </w:rPr>
  </w:style>
  <w:style w:type="character" w:customStyle="1" w:styleId="Heading2Char">
    <w:name w:val="Heading 2 Char"/>
    <w:basedOn w:val="DefaultParagraphFont"/>
    <w:link w:val="Heading2"/>
    <w:uiPriority w:val="9"/>
    <w:rsid w:val="00AE2883"/>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403D2B"/>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403D2B"/>
    <w:rPr>
      <w:rFonts w:ascii="Times New Roman" w:eastAsia="Times New Roman" w:hAnsi="Times New Roman" w:cs="Times New Roman"/>
      <w:b/>
      <w:bCs/>
      <w:sz w:val="20"/>
      <w:szCs w:val="20"/>
      <w:lang w:bidi="en-US"/>
    </w:rPr>
  </w:style>
  <w:style w:type="table" w:customStyle="1" w:styleId="TableGrid3">
    <w:name w:val="Table Grid3"/>
    <w:basedOn w:val="TableNormal"/>
    <w:next w:val="TableGrid"/>
    <w:rsid w:val="00DD63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39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7695"/>
    <w:pPr>
      <w:ind w:left="720"/>
      <w:contextualSpacing/>
    </w:pPr>
  </w:style>
  <w:style w:type="paragraph" w:styleId="TOCHeading">
    <w:name w:val="TOC Heading"/>
    <w:basedOn w:val="Heading1"/>
    <w:next w:val="Normal"/>
    <w:uiPriority w:val="39"/>
    <w:unhideWhenUsed/>
    <w:qFormat/>
    <w:rsid w:val="00B73F75"/>
    <w:pPr>
      <w:outlineLvl w:val="9"/>
    </w:pPr>
  </w:style>
  <w:style w:type="paragraph" w:styleId="TOC1">
    <w:name w:val="toc 1"/>
    <w:basedOn w:val="Normal"/>
    <w:next w:val="Normal"/>
    <w:autoRedefine/>
    <w:uiPriority w:val="39"/>
    <w:unhideWhenUsed/>
    <w:rsid w:val="00B73F75"/>
    <w:pPr>
      <w:spacing w:after="100"/>
    </w:pPr>
  </w:style>
  <w:style w:type="paragraph" w:styleId="TOC2">
    <w:name w:val="toc 2"/>
    <w:basedOn w:val="Normal"/>
    <w:next w:val="Normal"/>
    <w:autoRedefine/>
    <w:uiPriority w:val="39"/>
    <w:unhideWhenUsed/>
    <w:rsid w:val="00B73F75"/>
    <w:pPr>
      <w:spacing w:after="100"/>
      <w:ind w:left="220"/>
    </w:pPr>
  </w:style>
  <w:style w:type="paragraph" w:styleId="Header">
    <w:name w:val="header"/>
    <w:basedOn w:val="Normal"/>
    <w:link w:val="HeaderChar"/>
    <w:uiPriority w:val="99"/>
    <w:unhideWhenUsed/>
    <w:rsid w:val="00157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72"/>
  </w:style>
  <w:style w:type="paragraph" w:styleId="Footer">
    <w:name w:val="footer"/>
    <w:basedOn w:val="Normal"/>
    <w:link w:val="FooterChar"/>
    <w:uiPriority w:val="99"/>
    <w:unhideWhenUsed/>
    <w:rsid w:val="00157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72"/>
  </w:style>
  <w:style w:type="character" w:customStyle="1" w:styleId="Heading3Char">
    <w:name w:val="Heading 3 Char"/>
    <w:basedOn w:val="DefaultParagraphFont"/>
    <w:link w:val="Heading3"/>
    <w:uiPriority w:val="9"/>
    <w:rsid w:val="00F65E11"/>
    <w:rPr>
      <w:rFonts w:ascii="Times New Roman" w:eastAsia="Times New Roman" w:hAnsi="Times New Roman" w:cs="Times New Roman"/>
      <w:b/>
      <w:bCs/>
      <w:sz w:val="24"/>
      <w:szCs w:val="24"/>
      <w:u w:val="single" w:color="000000"/>
      <w:lang w:bidi="en-US"/>
    </w:rPr>
  </w:style>
  <w:style w:type="character" w:styleId="FollowedHyperlink">
    <w:name w:val="FollowedHyperlink"/>
    <w:basedOn w:val="DefaultParagraphFont"/>
    <w:uiPriority w:val="99"/>
    <w:semiHidden/>
    <w:unhideWhenUsed/>
    <w:rsid w:val="00385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nist.gov/CSRC/media/Projects/cryptographic-module-validation-program/documents/fips%20140-3/FIPS%20140-3%20IG.pdf" TargetMode="External"/><Relationship Id="rId13" Type="http://schemas.openxmlformats.org/officeDocument/2006/relationships/hyperlink" Target="https://csrc.nist.gov/Projects/cryptographic-module-validation-program/140-3-resources" TargetMode="External"/><Relationship Id="rId18" Type="http://schemas.openxmlformats.org/officeDocument/2006/relationships/hyperlink" Target="https://csrc.nist.gov/Projects/cryptographic-module-validation-program/140-3-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src.nist.gov/Projects/cryptographic-module-validation-program/140-3-resources" TargetMode="External"/><Relationship Id="rId7" Type="http://schemas.openxmlformats.org/officeDocument/2006/relationships/endnotes" Target="endnotes.xml"/><Relationship Id="rId12" Type="http://schemas.openxmlformats.org/officeDocument/2006/relationships/hyperlink" Target="https://csrc.nist.gov/Projects/cryptographic-module-validation-program/cmvp-fips-140-3-management-manual" TargetMode="External"/><Relationship Id="rId17" Type="http://schemas.openxmlformats.org/officeDocument/2006/relationships/hyperlink" Target="https://cve.mitr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rc.nist.gov/CSRC/media/Projects/cryptographic-module-validation-program/documents/fips%20140-3/FIPS%20140-3%20IG.pdf" TargetMode="External"/><Relationship Id="rId20" Type="http://schemas.openxmlformats.org/officeDocument/2006/relationships/hyperlink" Target="https://csrc.nist.gov/Projects/cryptographic-module-validation-program/140-3-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rc.nist.gov/CSRC/media/Projects/cryptographic-module-validation-program/documents/fips%20140-3/FIPS%20140-3%20IG.pdf" TargetMode="External"/><Relationship Id="rId24" Type="http://schemas.openxmlformats.org/officeDocument/2006/relationships/hyperlink" Target="https://csrc.nist.gov/Projects/cryptographic-module-validation-program/140-3-resources" TargetMode="External"/><Relationship Id="rId5" Type="http://schemas.openxmlformats.org/officeDocument/2006/relationships/webSettings" Target="webSettings.xml"/><Relationship Id="rId15" Type="http://schemas.openxmlformats.org/officeDocument/2006/relationships/hyperlink" Target="https://csrc.nist.gov/Projects/cryptographic-module-validation-program/140-3-resources" TargetMode="External"/><Relationship Id="rId23" Type="http://schemas.openxmlformats.org/officeDocument/2006/relationships/hyperlink" Target="http://www.productB.com" TargetMode="External"/><Relationship Id="rId10" Type="http://schemas.openxmlformats.org/officeDocument/2006/relationships/hyperlink" Target="https://csrc.nist.gov/Projects/cryptographic-module-validation-program/140-3-resources" TargetMode="External"/><Relationship Id="rId19" Type="http://schemas.openxmlformats.org/officeDocument/2006/relationships/hyperlink" Target="https://csrc.nist.gov/CSRC/media/Projects/cryptographic-module-validation-program/documents/fips%20140-3/FIPS%20140-3%20IG.pdf" TargetMode="External"/><Relationship Id="rId4" Type="http://schemas.openxmlformats.org/officeDocument/2006/relationships/settings" Target="settings.xml"/><Relationship Id="rId9" Type="http://schemas.openxmlformats.org/officeDocument/2006/relationships/hyperlink" Target="https://csrc.nist.gov/CSRC/media/Projects/cryptographic-module-validation-program/documents/fips%20140-3/FIPS%20140-3%20IG.pdf" TargetMode="External"/><Relationship Id="rId14" Type="http://schemas.openxmlformats.org/officeDocument/2006/relationships/hyperlink" Target="https://csrc.nist.gov/CSRC/media/Projects/cryptographic-module-validation-program/documents/fips%20140-3/FIPS%20140-3%20IG.pdf" TargetMode="External"/><Relationship Id="rId22" Type="http://schemas.openxmlformats.org/officeDocument/2006/relationships/hyperlink" Target="http://www.product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356E-6A3D-423C-8703-16CBFD0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27</Pages>
  <Words>5581</Words>
  <Characters>31813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Gavin W. (Fed)</dc:creator>
  <cp:keywords/>
  <dc:description/>
  <cp:lastModifiedBy>Calis, Alexander H. (Fed)</cp:lastModifiedBy>
  <cp:revision>144</cp:revision>
  <dcterms:created xsi:type="dcterms:W3CDTF">2023-02-14T17:22:00Z</dcterms:created>
  <dcterms:modified xsi:type="dcterms:W3CDTF">2024-03-15T21:13:00Z</dcterms:modified>
</cp:coreProperties>
</file>